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5D90E" w14:textId="616451CF" w:rsidR="00E01ECB" w:rsidRPr="00E01ECB" w:rsidRDefault="00E01ECB"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38F4D078" w14:textId="77777777" w:rsidR="00E01ECB" w:rsidRPr="00E01ECB" w:rsidRDefault="00E01ECB"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22EE5207" w14:textId="77777777" w:rsidR="00E01ECB" w:rsidRPr="00E01ECB" w:rsidRDefault="00E01ECB" w:rsidP="00E01ECB">
      <w:pPr>
        <w:jc w:val="center"/>
        <w:rPr>
          <w:rFonts w:ascii="Times New Roman" w:eastAsia="Times New Roman" w:hAnsi="Times New Roman" w:cs="Times New Roman"/>
        </w:rPr>
      </w:pPr>
      <w:r w:rsidRPr="00E01ECB">
        <w:rPr>
          <w:rFonts w:ascii="Times New Roman" w:eastAsia="Times New Roman" w:hAnsi="Times New Roman" w:cs="Times New Roman"/>
          <w:noProof/>
          <w:lang w:bidi="ar-SA"/>
        </w:rPr>
        <w:drawing>
          <wp:inline distT="0" distB="0" distL="0" distR="0" wp14:anchorId="55AFE4D9" wp14:editId="720C4B24">
            <wp:extent cx="502942" cy="684000"/>
            <wp:effectExtent l="0" t="0" r="0" b="1905"/>
            <wp:docPr id="1" name="Picture 1" descr="Slika na kojoj se prikazuje simbol, emblem, crveno, logotip&#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ka na kojoj se prikazuje simbol, emblem, crveno, logotip&#10;&#10;Sadržaj generiran uz AI možda nije toč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42" cy="684000"/>
                    </a:xfrm>
                    <a:prstGeom prst="rect">
                      <a:avLst/>
                    </a:prstGeom>
                    <a:noFill/>
                    <a:ln>
                      <a:noFill/>
                    </a:ln>
                  </pic:spPr>
                </pic:pic>
              </a:graphicData>
            </a:graphic>
          </wp:inline>
        </w:drawing>
      </w:r>
      <w:r w:rsidRPr="00E01ECB">
        <w:rPr>
          <w:rFonts w:ascii="Times New Roman" w:eastAsia="Times New Roman" w:hAnsi="Times New Roman" w:cs="Times New Roman"/>
        </w:rPr>
        <w:fldChar w:fldCharType="begin"/>
      </w:r>
      <w:r w:rsidRPr="00E01ECB">
        <w:rPr>
          <w:rFonts w:ascii="Times New Roman" w:eastAsia="Times New Roman" w:hAnsi="Times New Roman" w:cs="Times New Roman"/>
        </w:rPr>
        <w:instrText xml:space="preserve"> INCLUDEPICTURE "http://www.inet.hr/~box/images/grb-rh.gif" \* MERGEFORMATINET </w:instrText>
      </w:r>
      <w:r w:rsidRPr="00E01ECB">
        <w:rPr>
          <w:rFonts w:ascii="Times New Roman" w:eastAsia="Times New Roman" w:hAnsi="Times New Roman" w:cs="Times New Roman"/>
        </w:rPr>
        <w:fldChar w:fldCharType="end"/>
      </w:r>
    </w:p>
    <w:p w14:paraId="2BCDA67E" w14:textId="5BEEB38C" w:rsidR="00E01ECB" w:rsidRDefault="00D41917" w:rsidP="00E01ECB">
      <w:pPr>
        <w:spacing w:before="60" w:after="1680"/>
        <w:jc w:val="center"/>
        <w:rPr>
          <w:rFonts w:ascii="Times New Roman" w:eastAsia="Times New Roman" w:hAnsi="Times New Roman" w:cs="Times New Roman"/>
        </w:rPr>
      </w:pPr>
      <w:r>
        <w:rPr>
          <w:rFonts w:ascii="Times New Roman" w:eastAsia="Times New Roman" w:hAnsi="Times New Roman" w:cs="Times New Roman"/>
        </w:rPr>
        <w:t>MINISTARSTVO PROSTORNOGA UREĐENJA, GRADITELJSTVA I DRŽAVNE IMOVINE</w:t>
      </w:r>
    </w:p>
    <w:p w14:paraId="47249F85" w14:textId="77777777" w:rsidR="00F200E7" w:rsidRPr="00E01ECB" w:rsidRDefault="00F200E7" w:rsidP="00E01ECB">
      <w:pPr>
        <w:spacing w:before="60" w:after="1680"/>
        <w:jc w:val="center"/>
        <w:rPr>
          <w:rFonts w:ascii="Times New Roman" w:eastAsia="Times New Roman" w:hAnsi="Times New Roman" w:cs="Times New Roman"/>
        </w:rPr>
      </w:pPr>
    </w:p>
    <w:p w14:paraId="6B6605CB" w14:textId="77777777" w:rsidR="00417164" w:rsidRPr="00417164" w:rsidRDefault="00417164" w:rsidP="00417164">
      <w:pPr>
        <w:jc w:val="right"/>
        <w:rPr>
          <w:rFonts w:ascii="Times New Roman" w:eastAsia="Calibri" w:hAnsi="Times New Roman" w:cs="Times New Roman"/>
          <w:szCs w:val="22"/>
        </w:rPr>
      </w:pPr>
    </w:p>
    <w:p w14:paraId="43F921E6" w14:textId="77777777" w:rsidR="00417164" w:rsidRPr="00417164" w:rsidRDefault="00417164" w:rsidP="00417164">
      <w:pPr>
        <w:jc w:val="right"/>
        <w:rPr>
          <w:rFonts w:ascii="Times New Roman" w:eastAsia="Calibri" w:hAnsi="Times New Roman" w:cs="Times New Roman"/>
          <w:szCs w:val="22"/>
        </w:rPr>
      </w:pPr>
    </w:p>
    <w:p w14:paraId="479656C9" w14:textId="77777777" w:rsidR="00417164" w:rsidRPr="00CB6336" w:rsidRDefault="00417164" w:rsidP="00CB6336">
      <w:pPr>
        <w:jc w:val="center"/>
        <w:rPr>
          <w:rFonts w:ascii="Times New Roman" w:eastAsia="Calibri" w:hAnsi="Times New Roman" w:cs="Times New Roman"/>
          <w:sz w:val="32"/>
          <w:szCs w:val="32"/>
        </w:rPr>
      </w:pPr>
    </w:p>
    <w:p w14:paraId="7E6CD254" w14:textId="6B6796D7" w:rsidR="001B392F" w:rsidRPr="00E01ECB" w:rsidRDefault="00C4709D" w:rsidP="001B392F">
      <w:pPr>
        <w:ind w:firstLine="240"/>
        <w:jc w:val="center"/>
        <w:rPr>
          <w:rFonts w:ascii="Times New Roman" w:eastAsia="Calibri" w:hAnsi="Times New Roman" w:cs="Times New Roman"/>
          <w:b/>
          <w:bCs/>
          <w:color w:val="auto"/>
          <w:kern w:val="2"/>
          <w:lang w:eastAsia="en-US" w:bidi="ar-SA"/>
          <w14:ligatures w14:val="standardContextual"/>
        </w:rPr>
      </w:pPr>
      <w:r>
        <w:rPr>
          <w:rFonts w:ascii="Times New Roman" w:eastAsia="Calibri" w:hAnsi="Times New Roman" w:cs="Times New Roman"/>
          <w:b/>
          <w:bCs/>
          <w:color w:val="auto"/>
          <w:kern w:val="2"/>
          <w:lang w:eastAsia="en-US" w:bidi="ar-SA"/>
          <w14:ligatures w14:val="standardContextual"/>
        </w:rPr>
        <w:t xml:space="preserve">PRIJEDLOG </w:t>
      </w:r>
      <w:r w:rsidR="001B392F" w:rsidRPr="00E01ECB">
        <w:rPr>
          <w:rFonts w:ascii="Times New Roman" w:eastAsia="Calibri" w:hAnsi="Times New Roman" w:cs="Times New Roman"/>
          <w:b/>
          <w:bCs/>
          <w:color w:val="auto"/>
          <w:kern w:val="2"/>
          <w:lang w:eastAsia="en-US" w:bidi="ar-SA"/>
          <w14:ligatures w14:val="standardContextual"/>
        </w:rPr>
        <w:t>GODIŠNJ</w:t>
      </w:r>
      <w:r>
        <w:rPr>
          <w:rFonts w:ascii="Times New Roman" w:eastAsia="Calibri" w:hAnsi="Times New Roman" w:cs="Times New Roman"/>
          <w:b/>
          <w:bCs/>
          <w:color w:val="auto"/>
          <w:kern w:val="2"/>
          <w:lang w:eastAsia="en-US" w:bidi="ar-SA"/>
          <w14:ligatures w14:val="standardContextual"/>
        </w:rPr>
        <w:t>EG</w:t>
      </w:r>
      <w:r w:rsidR="001B392F" w:rsidRPr="00E01ECB">
        <w:rPr>
          <w:rFonts w:ascii="Times New Roman" w:eastAsia="Calibri" w:hAnsi="Times New Roman" w:cs="Times New Roman"/>
          <w:b/>
          <w:bCs/>
          <w:color w:val="auto"/>
          <w:kern w:val="2"/>
          <w:lang w:eastAsia="en-US" w:bidi="ar-SA"/>
          <w14:ligatures w14:val="standardContextual"/>
        </w:rPr>
        <w:t xml:space="preserve"> PLAN</w:t>
      </w:r>
      <w:r>
        <w:rPr>
          <w:rFonts w:ascii="Times New Roman" w:eastAsia="Calibri" w:hAnsi="Times New Roman" w:cs="Times New Roman"/>
          <w:b/>
          <w:bCs/>
          <w:color w:val="auto"/>
          <w:kern w:val="2"/>
          <w:lang w:eastAsia="en-US" w:bidi="ar-SA"/>
          <w14:ligatures w14:val="standardContextual"/>
        </w:rPr>
        <w:t>A</w:t>
      </w:r>
      <w:r w:rsidR="001B392F" w:rsidRPr="00E01ECB">
        <w:rPr>
          <w:rFonts w:ascii="Times New Roman" w:eastAsia="Calibri" w:hAnsi="Times New Roman" w:cs="Times New Roman"/>
          <w:b/>
          <w:bCs/>
          <w:color w:val="auto"/>
          <w:kern w:val="2"/>
          <w:lang w:eastAsia="en-US" w:bidi="ar-SA"/>
          <w14:ligatures w14:val="standardContextual"/>
        </w:rPr>
        <w:t xml:space="preserve"> UPRAVLJANJA NEKRETNINAMA I POKRETNINAMA U VLASNIŠTVU REPUBLIKE HRVATSKE ZA 2026. GODINU</w:t>
      </w:r>
    </w:p>
    <w:p w14:paraId="6D8C3BE0" w14:textId="77777777" w:rsidR="00417164" w:rsidRPr="00417164" w:rsidRDefault="00417164" w:rsidP="00417164">
      <w:pPr>
        <w:jc w:val="right"/>
        <w:rPr>
          <w:rFonts w:ascii="Times New Roman" w:eastAsia="Calibri" w:hAnsi="Times New Roman" w:cs="Times New Roman"/>
          <w:szCs w:val="22"/>
        </w:rPr>
      </w:pPr>
    </w:p>
    <w:p w14:paraId="5382D193" w14:textId="77777777" w:rsidR="00417164" w:rsidRPr="00745823" w:rsidRDefault="00417164" w:rsidP="00417164">
      <w:pPr>
        <w:rPr>
          <w:rFonts w:eastAsia="Calibri"/>
          <w:b/>
          <w:szCs w:val="22"/>
        </w:rPr>
      </w:pPr>
    </w:p>
    <w:p w14:paraId="5CAEDAFA" w14:textId="77777777" w:rsidR="00417164" w:rsidRPr="00745823" w:rsidRDefault="00417164" w:rsidP="00417164">
      <w:pPr>
        <w:rPr>
          <w:rFonts w:eastAsia="Calibri"/>
          <w:szCs w:val="22"/>
        </w:rPr>
      </w:pPr>
    </w:p>
    <w:p w14:paraId="3B139C36" w14:textId="77777777" w:rsidR="00417164" w:rsidRPr="00745823" w:rsidRDefault="00417164" w:rsidP="00417164">
      <w:pPr>
        <w:rPr>
          <w:rFonts w:eastAsia="Calibri"/>
          <w:szCs w:val="22"/>
        </w:rPr>
      </w:pPr>
    </w:p>
    <w:p w14:paraId="7A5C92F7" w14:textId="77777777" w:rsidR="00417164" w:rsidRPr="00745823" w:rsidRDefault="00417164" w:rsidP="00417164">
      <w:pPr>
        <w:spacing w:after="160" w:line="259" w:lineRule="auto"/>
        <w:rPr>
          <w:rFonts w:ascii="Arial" w:eastAsia="Calibri" w:hAnsi="Arial" w:cs="Arial"/>
          <w:sz w:val="22"/>
          <w:szCs w:val="22"/>
        </w:rPr>
      </w:pPr>
    </w:p>
    <w:p w14:paraId="4C7EF548" w14:textId="77777777" w:rsidR="00417164" w:rsidRPr="00745823" w:rsidRDefault="00417164" w:rsidP="00417164">
      <w:pPr>
        <w:spacing w:after="160" w:line="259" w:lineRule="auto"/>
        <w:rPr>
          <w:rFonts w:ascii="Arial" w:eastAsia="Calibri" w:hAnsi="Arial" w:cs="Arial"/>
          <w:sz w:val="22"/>
          <w:szCs w:val="22"/>
        </w:rPr>
      </w:pPr>
    </w:p>
    <w:p w14:paraId="7C2DA27D" w14:textId="77777777" w:rsidR="00E01ECB" w:rsidRPr="00E01ECB" w:rsidRDefault="00E01ECB"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7DBF9A8E" w14:textId="77777777" w:rsidR="00E01ECB" w:rsidRDefault="00E01ECB"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3C8307C0" w14:textId="77777777" w:rsidR="00417164" w:rsidRDefault="00417164"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7E0CB8EA" w14:textId="77777777" w:rsidR="00E01ECB" w:rsidRDefault="00E01ECB" w:rsidP="00E01ECB">
      <w:pPr>
        <w:jc w:val="both"/>
        <w:rPr>
          <w:rFonts w:ascii="Times New Roman" w:eastAsia="Times New Roman" w:hAnsi="Times New Roman" w:cs="Times New Roman"/>
          <w:bCs/>
          <w:color w:val="auto"/>
          <w:kern w:val="2"/>
          <w:lang w:eastAsia="en-US" w:bidi="ar-SA"/>
          <w14:ligatures w14:val="standardContextual"/>
        </w:rPr>
      </w:pPr>
    </w:p>
    <w:p w14:paraId="52B3BCE1" w14:textId="77777777" w:rsidR="001B392F" w:rsidRDefault="001B392F" w:rsidP="00E01ECB">
      <w:pPr>
        <w:jc w:val="both"/>
        <w:rPr>
          <w:rFonts w:ascii="Times New Roman" w:eastAsia="Calibri" w:hAnsi="Times New Roman" w:cs="Times New Roman"/>
          <w:bCs/>
          <w:color w:val="auto"/>
          <w:kern w:val="2"/>
          <w:lang w:eastAsia="en-US" w:bidi="ar-SA"/>
          <w14:ligatures w14:val="standardContextual"/>
        </w:rPr>
      </w:pPr>
    </w:p>
    <w:p w14:paraId="4BD70D68" w14:textId="77777777" w:rsidR="001B392F" w:rsidRDefault="001B392F" w:rsidP="00E01ECB">
      <w:pPr>
        <w:jc w:val="both"/>
        <w:rPr>
          <w:rFonts w:ascii="Times New Roman" w:eastAsia="Calibri" w:hAnsi="Times New Roman" w:cs="Times New Roman"/>
          <w:bCs/>
          <w:color w:val="auto"/>
          <w:kern w:val="2"/>
          <w:lang w:eastAsia="en-US" w:bidi="ar-SA"/>
          <w14:ligatures w14:val="standardContextual"/>
        </w:rPr>
      </w:pPr>
    </w:p>
    <w:p w14:paraId="337BA9DF" w14:textId="77777777" w:rsidR="001B392F" w:rsidRDefault="001B392F" w:rsidP="00E01ECB">
      <w:pPr>
        <w:jc w:val="both"/>
        <w:rPr>
          <w:rFonts w:ascii="Times New Roman" w:eastAsia="Calibri" w:hAnsi="Times New Roman" w:cs="Times New Roman"/>
          <w:bCs/>
          <w:color w:val="auto"/>
          <w:kern w:val="2"/>
          <w:lang w:eastAsia="en-US" w:bidi="ar-SA"/>
          <w14:ligatures w14:val="standardContextual"/>
        </w:rPr>
      </w:pPr>
    </w:p>
    <w:p w14:paraId="24C36678" w14:textId="77777777" w:rsidR="001B392F" w:rsidRDefault="001B392F" w:rsidP="00E01ECB">
      <w:pPr>
        <w:jc w:val="both"/>
        <w:rPr>
          <w:rFonts w:ascii="Times New Roman" w:eastAsia="Calibri" w:hAnsi="Times New Roman" w:cs="Times New Roman"/>
          <w:bCs/>
          <w:color w:val="auto"/>
          <w:kern w:val="2"/>
          <w:lang w:eastAsia="en-US" w:bidi="ar-SA"/>
          <w14:ligatures w14:val="standardContextual"/>
        </w:rPr>
      </w:pPr>
    </w:p>
    <w:p w14:paraId="3F24337A" w14:textId="77777777" w:rsidR="001B392F" w:rsidRDefault="001B392F" w:rsidP="00654A2C">
      <w:pPr>
        <w:jc w:val="center"/>
        <w:rPr>
          <w:rFonts w:ascii="Times New Roman" w:eastAsia="Calibri" w:hAnsi="Times New Roman" w:cs="Times New Roman"/>
          <w:bCs/>
          <w:color w:val="auto"/>
          <w:kern w:val="2"/>
          <w:lang w:eastAsia="en-US" w:bidi="ar-SA"/>
          <w14:ligatures w14:val="standardContextual"/>
        </w:rPr>
      </w:pPr>
    </w:p>
    <w:p w14:paraId="1A5E0338" w14:textId="2F7521BE" w:rsidR="00070FB8" w:rsidRPr="00727FE5" w:rsidRDefault="00727FE5" w:rsidP="00654A2C">
      <w:pPr>
        <w:jc w:val="center"/>
        <w:rPr>
          <w:rFonts w:ascii="Times New Roman" w:eastAsia="Calibri" w:hAnsi="Times New Roman" w:cs="Times New Roman"/>
          <w:bCs/>
          <w:color w:val="auto"/>
          <w:kern w:val="2"/>
          <w:lang w:eastAsia="en-US" w:bidi="ar-SA"/>
          <w14:ligatures w14:val="standardContextual"/>
        </w:rPr>
      </w:pPr>
      <w:r w:rsidRPr="00727FE5">
        <w:rPr>
          <w:rFonts w:ascii="Times New Roman" w:eastAsia="Calibri" w:hAnsi="Times New Roman" w:cs="Times New Roman"/>
          <w:bCs/>
          <w:color w:val="auto"/>
          <w:kern w:val="2"/>
          <w:lang w:eastAsia="en-US" w:bidi="ar-SA"/>
          <w14:ligatures w14:val="standardContextual"/>
        </w:rPr>
        <w:t xml:space="preserve">Zagreb, </w:t>
      </w:r>
      <w:r w:rsidR="00CC613C">
        <w:rPr>
          <w:rFonts w:ascii="Times New Roman" w:eastAsia="Calibri" w:hAnsi="Times New Roman" w:cs="Times New Roman"/>
          <w:bCs/>
          <w:color w:val="auto"/>
          <w:kern w:val="2"/>
          <w:lang w:eastAsia="en-US" w:bidi="ar-SA"/>
          <w14:ligatures w14:val="standardContextual"/>
        </w:rPr>
        <w:t>srp</w:t>
      </w:r>
      <w:r w:rsidR="00654A2C" w:rsidRPr="00727FE5">
        <w:rPr>
          <w:rFonts w:ascii="Times New Roman" w:eastAsia="Calibri" w:hAnsi="Times New Roman" w:cs="Times New Roman"/>
          <w:bCs/>
          <w:color w:val="auto"/>
          <w:kern w:val="2"/>
          <w:lang w:eastAsia="en-US" w:bidi="ar-SA"/>
          <w14:ligatures w14:val="standardContextual"/>
        </w:rPr>
        <w:t>anj 2026</w:t>
      </w:r>
      <w:r w:rsidRPr="00727FE5">
        <w:rPr>
          <w:rFonts w:ascii="Times New Roman" w:eastAsia="Calibri" w:hAnsi="Times New Roman" w:cs="Times New Roman"/>
          <w:bCs/>
          <w:color w:val="auto"/>
          <w:kern w:val="2"/>
          <w:lang w:eastAsia="en-US" w:bidi="ar-SA"/>
          <w14:ligatures w14:val="standardContextual"/>
        </w:rPr>
        <w:t>.</w:t>
      </w:r>
    </w:p>
    <w:p w14:paraId="5206F941" w14:textId="77777777" w:rsidR="005A0CC1" w:rsidRPr="005A0CC1" w:rsidRDefault="005A0CC1" w:rsidP="005A0CC1">
      <w:pPr>
        <w:spacing w:after="240"/>
        <w:rPr>
          <w:rFonts w:ascii="Times New Roman" w:eastAsia="Times New Roman" w:hAnsi="Times New Roman" w:cs="Times New Roman"/>
          <w:b/>
          <w:bCs/>
          <w:color w:val="auto"/>
          <w:kern w:val="2"/>
          <w:lang w:eastAsia="en-US" w:bidi="ar-SA"/>
          <w14:ligatures w14:val="standardContextual"/>
        </w:rPr>
      </w:pPr>
    </w:p>
    <w:p w14:paraId="1C4DC9D7" w14:textId="77777777" w:rsidR="005A0CC1" w:rsidRPr="005A0CC1" w:rsidRDefault="005A0CC1" w:rsidP="005A0CC1">
      <w:pPr>
        <w:numPr>
          <w:ilvl w:val="0"/>
          <w:numId w:val="1"/>
        </w:numPr>
        <w:tabs>
          <w:tab w:val="left" w:pos="284"/>
        </w:tabs>
        <w:spacing w:after="240"/>
        <w:ind w:left="709"/>
        <w:jc w:val="both"/>
        <w:rPr>
          <w:rFonts w:ascii="Times New Roman" w:eastAsia="Times New Roman" w:hAnsi="Times New Roman" w:cs="Times New Roman"/>
          <w:b/>
          <w:bCs/>
          <w:color w:val="auto"/>
          <w:kern w:val="2"/>
          <w:lang w:eastAsia="en-US" w:bidi="ar-SA"/>
          <w14:ligatures w14:val="standardContextual"/>
        </w:rPr>
      </w:pPr>
      <w:r w:rsidRPr="005A0CC1">
        <w:rPr>
          <w:rFonts w:ascii="Times New Roman" w:eastAsia="Times New Roman" w:hAnsi="Times New Roman" w:cs="Times New Roman"/>
          <w:b/>
          <w:bCs/>
          <w:color w:val="auto"/>
          <w:kern w:val="2"/>
          <w:lang w:eastAsia="en-US" w:bidi="ar-SA"/>
          <w14:ligatures w14:val="standardContextual"/>
        </w:rPr>
        <w:t>UVOD</w:t>
      </w:r>
    </w:p>
    <w:p w14:paraId="6F44EF15" w14:textId="77777777" w:rsidR="005A0CC1" w:rsidRPr="005A0CC1" w:rsidRDefault="005A0CC1" w:rsidP="005A0CC1">
      <w:pPr>
        <w:spacing w:after="140"/>
        <w:ind w:firstLine="708"/>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Tri su ključna i međusobno povezana dokumenta upravljanja nekretninama i pokretninama u vlasništvu Republike Hrvatske iz nadležnosti Ministarstva prostornoga uređenja, graditeljstva i državne imovine (u daljnjem tekstu: MPGI) normirana Zakonom o upravljanju nekretninama i pokretninama u vlasništvu Republike Hrvatske („Narodne novine“, broj 155/23.; u daljnjem tekstu: Zakon)</w:t>
      </w:r>
      <w:r w:rsidRPr="005A0CC1">
        <w:rPr>
          <w:rFonts w:ascii="Times New Roman" w:eastAsia="Times New Roman" w:hAnsi="Times New Roman" w:cs="Times New Roman"/>
          <w:color w:val="auto"/>
          <w:kern w:val="2"/>
          <w:vertAlign w:val="superscript"/>
          <w:lang w:eastAsia="en-US" w:bidi="ar-SA"/>
          <w14:ligatures w14:val="standardContextual"/>
        </w:rPr>
        <w:footnoteReference w:id="1"/>
      </w:r>
      <w:r w:rsidRPr="005A0CC1">
        <w:rPr>
          <w:rFonts w:ascii="Times New Roman" w:eastAsia="Calibri" w:hAnsi="Times New Roman" w:cs="Times New Roman"/>
          <w:color w:val="auto"/>
          <w:kern w:val="2"/>
          <w:lang w:eastAsia="en-US" w:bidi="ar-SA"/>
          <w14:ligatures w14:val="standardContextual"/>
        </w:rPr>
        <w:t xml:space="preserve"> i to: Strategija upravljanja nekretninama i pokretninama u vlasništvu Republike Hrvatske, Godišnji plan upravljanja nekretninama i pokretninama u vlasništvu Republike Hrvatske i Izvješće o provedbi Godišnjeg plana upravljanja nekretninama i pokretninama u vlasništvu Republike Hrvatske .</w:t>
      </w:r>
    </w:p>
    <w:p w14:paraId="4294D863" w14:textId="77777777" w:rsidR="005A0CC1" w:rsidRPr="005A0CC1" w:rsidRDefault="005A0CC1" w:rsidP="005A0CC1">
      <w:pPr>
        <w:spacing w:after="140"/>
        <w:ind w:firstLine="708"/>
        <w:jc w:val="both"/>
        <w:rPr>
          <w:rFonts w:ascii="Times New Roman" w:eastAsia="Calibri"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14:ligatures w14:val="standardContextual"/>
        </w:rPr>
        <w:t xml:space="preserve">Godišnji plan upravljanja nekretninama i pokretninama u vlasništvu Republike Hrvatske (u daljnjem tekstu: Godišnji plan) </w:t>
      </w:r>
      <w:r w:rsidRPr="005A0CC1">
        <w:rPr>
          <w:rFonts w:ascii="Times New Roman" w:eastAsia="Calibri" w:hAnsi="Times New Roman" w:cs="Times New Roman"/>
          <w:color w:val="auto"/>
          <w:kern w:val="2"/>
          <w:lang w:eastAsia="en-US" w:bidi="ar-SA"/>
          <w14:ligatures w14:val="standardContextual"/>
        </w:rPr>
        <w:t>obuhvaća jednogodišnje razdoblje u kojem se poduzimaju aktivnosti radi ostvarenja mjera i ciljeva planiranih u aktima strateškog planiranja u odnosu na nekretnine i pokretnine u vlasništvu Republike Hrvatske.</w:t>
      </w:r>
      <w:r w:rsidRPr="005A0CC1">
        <w:rPr>
          <w:rFonts w:ascii="Times New Roman" w:eastAsia="Times New Roman" w:hAnsi="Times New Roman" w:cs="Times New Roman"/>
          <w:color w:val="auto"/>
          <w:kern w:val="2"/>
          <w:lang w:eastAsia="en-US"/>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Godišnji plan služi i kao operativni okvir za provedbu ciljeva i mjera definiranih Strategijom upravljanja nekretninama i pokretninama u vlasništvu Republike Hrvatske za razdoblje 2026. - 2035. („Narodne novine“, broj 81/26.; u daljnjem tekstu: Strategija), te predstavlja konkretan nastavak vizije i strateških usmjerenja uspostavljenih u Strategiji, uključujući razvoj mjera, projekata i aktivnosti usmjerenih na učinkovito, transparentno i održivo upravljanje imovinom u vlasništvu Republike Hrvatske.</w:t>
      </w:r>
    </w:p>
    <w:p w14:paraId="633E2D32" w14:textId="77777777" w:rsidR="005A0CC1" w:rsidRPr="005A0CC1" w:rsidRDefault="005A0CC1" w:rsidP="005A0CC1">
      <w:pPr>
        <w:ind w:firstLine="709"/>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Pri izradi Godišnjeg plana inkorporirana su temeljna načela upravljanja državnom imovinom: odgovornost, javnost, učinkovitost i predvidljivost, čime se osigurava transparentnost, profesionalizam i učinkovitost upravljanja državnom imovinom u interesu svih građana Republike Hrvatske.</w:t>
      </w:r>
      <w:r w:rsidRPr="005A0CC1">
        <w:rPr>
          <w:rFonts w:ascii="Times New Roman" w:eastAsia="Calibri" w:hAnsi="Times New Roman" w:cs="Times New Roman"/>
          <w:color w:val="auto"/>
          <w:kern w:val="2"/>
          <w:lang w:eastAsia="en-US" w:bidi="ar-SA"/>
          <w14:ligatures w14:val="standardContextual"/>
        </w:rPr>
        <w:t xml:space="preserve"> MPGI koordinira pripremu dokumenta te u pripremu istog uključuje i nadležna tijela za upravljanje nekretninama, odnosno županije, gradove sjedišta županija, velike gradove s preko 35.000 stanovnika, trgovačko društvo Državne nekretnine d.o.o. (u daljnjem tekstu: DN d.o.o.), javne ustanove za upravljanje nacionalnim parkovima i parkovima prirode, a koja tijela uz MPGI upravljaju u ime Republike Hrvatske nekretninama u državnom vlasništvu. Godišnji plan se javno objavljuje radi poticanja otvorenosti i odgovornosti u upravljanju javnim dobrima. U skladu s člankom 54. Zakona, Godišnji plan donosi Vlada Republike Hrvatske, na prijedlog MPGI. </w:t>
      </w:r>
    </w:p>
    <w:p w14:paraId="6358D232"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ab/>
      </w:r>
    </w:p>
    <w:p w14:paraId="6184ABBE"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39BD8139"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36134272" w14:textId="77777777" w:rsidR="005A0CC1" w:rsidRPr="005A0CC1" w:rsidRDefault="005A0CC1" w:rsidP="005A0CC1">
      <w:pPr>
        <w:ind w:firstLine="709"/>
        <w:jc w:val="both"/>
        <w:rPr>
          <w:rFonts w:ascii="Times New Roman" w:eastAsia="Calibri" w:hAnsi="Times New Roman" w:cs="Times New Roman"/>
          <w:color w:val="auto"/>
          <w:kern w:val="2"/>
          <w:lang w:eastAsia="en-US" w:bidi="ar-SA"/>
          <w14:ligatures w14:val="standardContextual"/>
        </w:rPr>
      </w:pPr>
    </w:p>
    <w:p w14:paraId="1BE8E7FB" w14:textId="77777777" w:rsidR="005A0CC1" w:rsidRPr="005A0CC1" w:rsidRDefault="005A0CC1" w:rsidP="005A0CC1">
      <w:pPr>
        <w:ind w:firstLine="709"/>
        <w:jc w:val="both"/>
        <w:rPr>
          <w:rFonts w:ascii="Times New Roman" w:eastAsia="Calibri" w:hAnsi="Times New Roman" w:cs="Times New Roman"/>
          <w:color w:val="auto"/>
          <w:kern w:val="2"/>
          <w:lang w:eastAsia="en-US" w:bidi="ar-SA"/>
          <w14:ligatures w14:val="standardContextual"/>
        </w:rPr>
      </w:pPr>
    </w:p>
    <w:p w14:paraId="5118567C" w14:textId="77777777" w:rsidR="005A0CC1" w:rsidRPr="005A0CC1" w:rsidRDefault="005A0CC1" w:rsidP="005A0CC1">
      <w:pPr>
        <w:ind w:firstLine="709"/>
        <w:jc w:val="both"/>
        <w:rPr>
          <w:rFonts w:ascii="Times New Roman" w:eastAsia="Calibri" w:hAnsi="Times New Roman" w:cs="Times New Roman"/>
          <w:color w:val="auto"/>
          <w:kern w:val="2"/>
          <w:lang w:eastAsia="en-US" w:bidi="ar-SA"/>
          <w14:ligatures w14:val="standardContextual"/>
        </w:rPr>
      </w:pPr>
    </w:p>
    <w:p w14:paraId="2DBAA5C5"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6C763E6C"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0F45967F"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7BAB30EB"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71809CB5"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6E08B6F9" w14:textId="77777777" w:rsidR="005A0CC1" w:rsidRDefault="005A0CC1" w:rsidP="005A0CC1">
      <w:pPr>
        <w:jc w:val="both"/>
        <w:rPr>
          <w:rFonts w:ascii="Times New Roman" w:eastAsia="Calibri" w:hAnsi="Times New Roman" w:cs="Times New Roman"/>
          <w:color w:val="auto"/>
          <w:kern w:val="2"/>
          <w:lang w:eastAsia="en-US" w:bidi="ar-SA"/>
          <w14:ligatures w14:val="standardContextual"/>
        </w:rPr>
      </w:pPr>
    </w:p>
    <w:p w14:paraId="2F3AF370" w14:textId="77777777" w:rsidR="00EE6032" w:rsidRDefault="00EE6032" w:rsidP="005A0CC1">
      <w:pPr>
        <w:jc w:val="both"/>
        <w:rPr>
          <w:rFonts w:ascii="Times New Roman" w:eastAsia="Calibri" w:hAnsi="Times New Roman" w:cs="Times New Roman"/>
          <w:color w:val="auto"/>
          <w:kern w:val="2"/>
          <w:lang w:eastAsia="en-US" w:bidi="ar-SA"/>
          <w14:ligatures w14:val="standardContextual"/>
        </w:rPr>
      </w:pPr>
    </w:p>
    <w:p w14:paraId="3FFA503C" w14:textId="77777777" w:rsidR="00EE6032" w:rsidRDefault="00EE6032" w:rsidP="005A0CC1">
      <w:pPr>
        <w:jc w:val="both"/>
        <w:rPr>
          <w:rFonts w:ascii="Times New Roman" w:eastAsia="Calibri" w:hAnsi="Times New Roman" w:cs="Times New Roman"/>
          <w:color w:val="auto"/>
          <w:kern w:val="2"/>
          <w:lang w:eastAsia="en-US" w:bidi="ar-SA"/>
          <w14:ligatures w14:val="standardContextual"/>
        </w:rPr>
      </w:pPr>
    </w:p>
    <w:p w14:paraId="6A8B5362" w14:textId="77777777" w:rsidR="00EE6032" w:rsidRDefault="00EE6032" w:rsidP="005A0CC1">
      <w:pPr>
        <w:jc w:val="both"/>
        <w:rPr>
          <w:rFonts w:ascii="Times New Roman" w:eastAsia="Calibri" w:hAnsi="Times New Roman" w:cs="Times New Roman"/>
          <w:color w:val="auto"/>
          <w:kern w:val="2"/>
          <w:lang w:eastAsia="en-US" w:bidi="ar-SA"/>
          <w14:ligatures w14:val="standardContextual"/>
        </w:rPr>
      </w:pPr>
    </w:p>
    <w:p w14:paraId="7CD4A887" w14:textId="77777777" w:rsidR="00EE6032" w:rsidRPr="005A0CC1" w:rsidRDefault="00EE6032" w:rsidP="005A0CC1">
      <w:pPr>
        <w:jc w:val="both"/>
        <w:rPr>
          <w:rFonts w:ascii="Times New Roman" w:eastAsia="Calibri" w:hAnsi="Times New Roman" w:cs="Times New Roman"/>
          <w:color w:val="auto"/>
          <w:kern w:val="2"/>
          <w:lang w:eastAsia="en-US" w:bidi="ar-SA"/>
          <w14:ligatures w14:val="standardContextual"/>
        </w:rPr>
      </w:pPr>
    </w:p>
    <w:p w14:paraId="5F606BF6"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111A9FCD" w14:textId="77777777" w:rsidR="005A0CC1" w:rsidRPr="005A0CC1" w:rsidRDefault="005A0CC1" w:rsidP="005A0CC1">
      <w:pPr>
        <w:ind w:firstLine="709"/>
        <w:jc w:val="both"/>
        <w:rPr>
          <w:rFonts w:ascii="Times New Roman" w:eastAsia="Calibri" w:hAnsi="Times New Roman" w:cs="Times New Roman"/>
          <w:color w:val="auto"/>
          <w:kern w:val="2"/>
          <w:lang w:eastAsia="en-US" w:bidi="ar-SA"/>
          <w14:ligatures w14:val="standardContextual"/>
        </w:rPr>
      </w:pPr>
    </w:p>
    <w:p w14:paraId="4571305F" w14:textId="77777777" w:rsidR="005A0CC1" w:rsidRPr="005A0CC1" w:rsidRDefault="005A0CC1" w:rsidP="005A0CC1">
      <w:pPr>
        <w:numPr>
          <w:ilvl w:val="0"/>
          <w:numId w:val="1"/>
        </w:numPr>
        <w:spacing w:after="240"/>
        <w:ind w:left="1418" w:hanging="709"/>
        <w:jc w:val="both"/>
        <w:rPr>
          <w:rFonts w:ascii="Times New Roman" w:eastAsia="Calibri" w:hAnsi="Times New Roman" w:cs="Times New Roman"/>
          <w:b/>
          <w:color w:val="auto"/>
          <w:kern w:val="2"/>
          <w:lang w:eastAsia="en-US" w:bidi="ar-SA"/>
          <w14:ligatures w14:val="standardContextual"/>
        </w:rPr>
      </w:pPr>
      <w:r w:rsidRPr="005A0CC1">
        <w:rPr>
          <w:rFonts w:ascii="Times New Roman" w:eastAsia="Times New Roman" w:hAnsi="Times New Roman" w:cs="Times New Roman"/>
          <w:b/>
          <w:bCs/>
          <w:color w:val="auto"/>
          <w:kern w:val="2"/>
          <w:lang w:eastAsia="en-US" w:bidi="ar-SA"/>
          <w14:ligatures w14:val="standardContextual"/>
        </w:rPr>
        <w:lastRenderedPageBreak/>
        <w:t>ZAKONSKI OKVIR UPRAVLJANJA NEKRETNINAMA I POKRETNINAMA U VLASNIŠTVU REPUBLIKE</w:t>
      </w:r>
      <w:r w:rsidRPr="005A0CC1">
        <w:rPr>
          <w:rFonts w:ascii="Times New Roman" w:eastAsia="Times New Roman" w:hAnsi="Times New Roman" w:cs="Times New Roman"/>
          <w:b/>
          <w:bCs/>
          <w:color w:val="auto"/>
          <w:kern w:val="2"/>
          <w:sz w:val="28"/>
          <w:szCs w:val="28"/>
          <w:lang w:eastAsia="en-US" w:bidi="ar-SA"/>
          <w14:ligatures w14:val="standardContextual"/>
        </w:rPr>
        <w:t xml:space="preserve"> </w:t>
      </w:r>
      <w:r w:rsidRPr="005A0CC1">
        <w:rPr>
          <w:rFonts w:ascii="Times New Roman" w:eastAsia="Times New Roman" w:hAnsi="Times New Roman" w:cs="Times New Roman"/>
          <w:b/>
          <w:bCs/>
          <w:color w:val="auto"/>
          <w:kern w:val="2"/>
          <w:lang w:eastAsia="en-US" w:bidi="ar-SA"/>
          <w14:ligatures w14:val="standardContextual"/>
        </w:rPr>
        <w:t xml:space="preserve">HRVATSKE </w:t>
      </w:r>
    </w:p>
    <w:p w14:paraId="22598F7E"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ab/>
        <w:t>Upravljanje nekretninama i pokretninama u vlasništvu Republike Hrvatske regulirano je Zakonom</w:t>
      </w:r>
      <w:r w:rsidRPr="005A0CC1">
        <w:rPr>
          <w:rFonts w:ascii="Times New Roman" w:eastAsia="Calibri" w:hAnsi="Times New Roman" w:cs="Times New Roman"/>
          <w:i/>
          <w:iCs/>
          <w:color w:val="auto"/>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kojim se postiže optimizacija upravljanja i ubrzanje aktivacije neiskorištenih nekretnina u vlasništvu Republike Hrvatske.</w:t>
      </w:r>
      <w:r w:rsidRPr="005A0CC1">
        <w:rPr>
          <w:rFonts w:ascii="Times New Roman" w:eastAsia="Times New Roman" w:hAnsi="Times New Roman" w:cs="Times New Roman"/>
          <w:color w:val="auto"/>
          <w:kern w:val="2"/>
          <w:lang w:eastAsia="en-US" w:bidi="ar-SA"/>
          <w14:ligatures w14:val="standardContextual"/>
        </w:rPr>
        <w:t xml:space="preserve"> </w:t>
      </w:r>
    </w:p>
    <w:p w14:paraId="60E2AC96"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7303F232"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ab/>
        <w:t>U smislu Zakona, nekretnine u vlasništvu Republike Hrvatske su: neizgrađeno građevinsko zemljište, građevine sa zemljištem za redovitu uporabu, stanovi i poslovni prostori, planinarski objekti, kamp, neprocijenjeno građevinsko zemljište, rezidencijalni objekti, nekretnine pod posebnim načinom upravljanja i nekretnine od strateškog značaja za Republiku Hrvatsku na kojima je uspostavljeno vlasništvo Republike Hrvatske.</w:t>
      </w:r>
    </w:p>
    <w:p w14:paraId="796F6418"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415FD758"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ab/>
        <w:t>Zakon osigurava kvalitetnije upravljanje imovinom kao i ubrzanu aktivaciju neiskorištenih nekretnina u vlasništvu Republike Hrvatske kroz funkcionalnu i financijsku decentralizaciju poslova upravljanja nekretninama. Nadležna tijela za upravljanje nekretninama su: županije, gradovi sjedišta županija, veliki gradovi s preko 35.000 stanovnika, trgovačko društvo DN d.o.o., javne ustanove za upravljanje nacionalnim parkovima i parkovima prirode, a koja tijela uz MPGI upravljaju u ime Republike Hrvatske nekretninama u državnom vlasništvu. Decentralizacijom se omogućuje brže i učinkovitije rješavanje imovinskopravnih odnosa na državnim nekretninama u svrhu realizacije infrastrukturnih i razvojnih projekata, a sve u cilju povećanja investicijskog potencijala, realizacije investicijskih projekata i bržem razvoju gradova i općina.</w:t>
      </w:r>
    </w:p>
    <w:p w14:paraId="14D510BB"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4CEF8D88" w14:textId="77777777" w:rsidR="005A0CC1" w:rsidRPr="005A0CC1" w:rsidRDefault="005A0CC1" w:rsidP="005A0CC1">
      <w:pPr>
        <w:tabs>
          <w:tab w:val="left" w:pos="802"/>
        </w:tabs>
        <w:spacing w:after="240"/>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ab/>
        <w:t>Sukladno Zakonu, poslovi upravljanja nekretninama i pokretninama u vlasništvu Republike Hrvatske obuhvaćaju sve sustavne i koordinirane aktivnosti i dobre prakse kojima nadležna tijela u ime Republike Hrvatske racionalno, transparentno i javno upravljaju nekretninama i pokretninama u vlasništvu Republike Hrvatske i s njima povezanim obvezama, u ime i za račun građana radi održivog razvitka Republike Hrvatske:</w:t>
      </w:r>
    </w:p>
    <w:p w14:paraId="1D156BB5"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izvršavanje svih vlasničkih prava i dužnosti na nekretninama i pokretninama u vlasništvu Republike Hrvatske</w:t>
      </w:r>
    </w:p>
    <w:p w14:paraId="59D1B54D"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raspolaganje nekretninama i pokretninama u vlasništvu Republike Hrvatske koje predstavlja sklapanje pravnih poslova čija je posljedica prijenos, otuđenje ili ograničenje prava vlasništva Republike Hrvatske u korist fizičke ili pravne osobe i to: prodaja, darovanje, osnivanje prava građenja, osnivanje prava služnosti, zakup, najam, razvrgnuće suvlasničke zajednice, zamjena te davanje na uporabu ili korištenje</w:t>
      </w:r>
    </w:p>
    <w:p w14:paraId="5D252DCD"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poduzimanje svih radnji u vezi s nekretninama i pokretninama u vlasništvu Republike Hrvatske s pažnjom dobrog gospodara i načelima upravljanja nekretninama i pokretninama propisanih Zakonom, radi uređenja pravnih odnosa na toj državnoj imovini</w:t>
      </w:r>
    </w:p>
    <w:p w14:paraId="765B01B6"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podnošenje zahtjeva u postupcima izrade prostornih planova, suglasnosti u postupku ishođenja akata prostornoga uređenja i gradnje, etažnih elaborata, geodetskih elaborata i drugim postupcima kojima se izravno i/ili neizravno utječe na državnu imovinu</w:t>
      </w:r>
    </w:p>
    <w:p w14:paraId="1C5DA712"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po potrebi, utvrđivanje ili promjenu namjene nekretnina i pokretnina u vlasništvu Republike Hrvatske</w:t>
      </w:r>
    </w:p>
    <w:p w14:paraId="4FDF0C12"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investicijsko i tekuće održavanje nekretnina i pokretnina u vlasništvu Republike Hrvatske</w:t>
      </w:r>
    </w:p>
    <w:p w14:paraId="3ADEE0A9"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poduzimanje svih aktivnosti radi ostvarenja mjera i ciljeva planiranih u aktima strateškog planiranja u odnosu na nekretnine i pokretnine u vlasništvu Republike Hrvatske.</w:t>
      </w:r>
    </w:p>
    <w:p w14:paraId="135D903C"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0773034D" w14:textId="77777777" w:rsidR="005A0CC1" w:rsidRPr="005A0CC1" w:rsidRDefault="005A0CC1" w:rsidP="005A0CC1">
      <w:pPr>
        <w:tabs>
          <w:tab w:val="left" w:pos="0"/>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ab/>
        <w:t xml:space="preserve">Poslove upravljanja i raspolaganja pokretninama u vlasništvu Republike Hrvatske </w:t>
      </w:r>
      <w:r w:rsidRPr="005A0CC1">
        <w:rPr>
          <w:rFonts w:ascii="Times New Roman" w:eastAsia="Calibri" w:hAnsi="Times New Roman" w:cs="Times New Roman"/>
          <w:color w:val="auto"/>
          <w:kern w:val="2"/>
          <w:lang w:eastAsia="en-US" w:bidi="ar-SA"/>
          <w14:ligatures w14:val="standardContextual"/>
        </w:rPr>
        <w:lastRenderedPageBreak/>
        <w:t xml:space="preserve">obavlja MPGI na način da pokretnine može dati na uporabu bez naknade tijelima državne uprave (u daljnjem tekstu: TDU) ili drugim državnim tijelima korisnicima državnog proračuna Republike Hrvatske odnosno dati na uporabu bez naknade, u najam ili darovati jedinicama lokalne i područne (regionalne) samouprave (u daljnjem tekstu: JLP(R)S), ustanovama kojima je osnivač Republika Hrvatska i/ili JLP(R)S, tijelima socijalne skrbi, organizacijama civilnog društva i pravnim osobama koje imaju javne ovlasti, a koja nisu trgovačka društva u vlasništvu ili suvlasništvu Republike Hrvatske te prodati ili dati u najam pokretnine drugim fizičkim i pravnim osobama. </w:t>
      </w:r>
      <w:r w:rsidRPr="005A0CC1">
        <w:rPr>
          <w:rFonts w:ascii="Times New Roman" w:eastAsia="Times New Roman" w:hAnsi="Times New Roman" w:cs="Times New Roman"/>
          <w:color w:val="auto"/>
          <w:kern w:val="2"/>
          <w:lang w:eastAsia="en-US"/>
          <w14:ligatures w14:val="standardContextual"/>
        </w:rPr>
        <w:t>Pokretnine koje nemaju uporabnu vrijednost ili imaju neznatnu vrijednost odnosno nisu u funkciji MPGI može uništiti odnosno zbrinuti kod ovlaštenih tijela.</w:t>
      </w:r>
    </w:p>
    <w:p w14:paraId="6252489C"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09B865E3"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ab/>
        <w:t>U tablici 2.1. prikazan je pregled upravljanja i raspolaganja nekretninama i pokretninama u vlasništvu Republike Hrvatske prema nadležnosti upravljanja odnosno izvršavanja poslova upravljanja, donositelju Odluke o pokretanju postupka raspolaganja nekretninama i Odluke o raspolaganju nekretninama i raspodjeli prihoda od raspolaganja nekretninama u vlasništvu Republike Hrvatske.</w:t>
      </w:r>
    </w:p>
    <w:p w14:paraId="02296772"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097239D0"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7E209948" w14:textId="77777777" w:rsidR="005A0CC1" w:rsidRPr="005A0CC1" w:rsidRDefault="005A0CC1" w:rsidP="005A0CC1">
      <w:pPr>
        <w:spacing w:after="220"/>
        <w:jc w:val="both"/>
        <w:rPr>
          <w:rFonts w:ascii="Times New Roman" w:eastAsia="Times New Roman" w:hAnsi="Times New Roman" w:cs="Times New Roman"/>
          <w:color w:val="auto"/>
          <w:kern w:val="2"/>
          <w:lang w:eastAsia="en-US" w:bidi="ar-SA"/>
          <w14:ligatures w14:val="standardContextual"/>
        </w:rPr>
        <w:sectPr w:rsidR="005A0CC1" w:rsidRPr="005A0CC1" w:rsidSect="005A0CC1">
          <w:headerReference w:type="default" r:id="rId13"/>
          <w:footerReference w:type="default" r:id="rId14"/>
          <w:headerReference w:type="first" r:id="rId15"/>
          <w:pgSz w:w="11900" w:h="16840"/>
          <w:pgMar w:top="1247" w:right="1418" w:bottom="851" w:left="1418" w:header="561" w:footer="567" w:gutter="0"/>
          <w:pgNumType w:start="2"/>
          <w:cols w:space="720"/>
          <w:noEndnote/>
          <w:titlePg/>
          <w:docGrid w:linePitch="360"/>
        </w:sectPr>
      </w:pPr>
    </w:p>
    <w:tbl>
      <w:tblPr>
        <w:tblW w:w="15404" w:type="dxa"/>
        <w:tblInd w:w="-426" w:type="dxa"/>
        <w:tblLayout w:type="fixed"/>
        <w:tblLook w:val="04A0" w:firstRow="1" w:lastRow="0" w:firstColumn="1" w:lastColumn="0" w:noHBand="0" w:noVBand="1"/>
      </w:tblPr>
      <w:tblGrid>
        <w:gridCol w:w="426"/>
        <w:gridCol w:w="2391"/>
        <w:gridCol w:w="2571"/>
        <w:gridCol w:w="3402"/>
        <w:gridCol w:w="2551"/>
        <w:gridCol w:w="4063"/>
      </w:tblGrid>
      <w:tr w:rsidR="005A0CC1" w:rsidRPr="005A0CC1" w14:paraId="3ADD3B6F" w14:textId="77777777" w:rsidTr="001C7DE3">
        <w:trPr>
          <w:trHeight w:val="336"/>
        </w:trPr>
        <w:tc>
          <w:tcPr>
            <w:tcW w:w="15404" w:type="dxa"/>
            <w:gridSpan w:val="6"/>
            <w:vMerge w:val="restart"/>
            <w:tcBorders>
              <w:top w:val="nil"/>
              <w:left w:val="nil"/>
              <w:bottom w:val="nil"/>
              <w:right w:val="nil"/>
            </w:tcBorders>
            <w:vAlign w:val="bottom"/>
            <w:hideMark/>
          </w:tcPr>
          <w:p w14:paraId="43A5633F" w14:textId="77777777" w:rsidR="005A0CC1" w:rsidRPr="005A0CC1" w:rsidRDefault="005A0CC1" w:rsidP="005A0CC1">
            <w:pPr>
              <w:spacing w:after="60"/>
              <w:ind w:right="-748"/>
              <w:rPr>
                <w:rFonts w:ascii="Times New Roman" w:eastAsia="Times New Roman" w:hAnsi="Times New Roman" w:cs="Times New Roman"/>
                <w:b/>
                <w:bCs/>
              </w:rPr>
            </w:pPr>
            <w:r w:rsidRPr="005A0CC1">
              <w:rPr>
                <w:rFonts w:ascii="Times New Roman" w:eastAsia="Times New Roman" w:hAnsi="Times New Roman" w:cs="Times New Roman"/>
                <w:b/>
                <w:bCs/>
              </w:rPr>
              <w:lastRenderedPageBreak/>
              <w:t>Tablica 2.1. Upravljanje i raspolaganje nekretninama i pokretninama u vlasništvu Republike Hrvatske</w:t>
            </w:r>
          </w:p>
        </w:tc>
      </w:tr>
      <w:tr w:rsidR="005A0CC1" w:rsidRPr="005A0CC1" w14:paraId="63BEBB18" w14:textId="77777777" w:rsidTr="001C7DE3">
        <w:trPr>
          <w:trHeight w:val="272"/>
        </w:trPr>
        <w:tc>
          <w:tcPr>
            <w:tcW w:w="15404" w:type="dxa"/>
            <w:gridSpan w:val="6"/>
            <w:vMerge/>
            <w:tcBorders>
              <w:top w:val="nil"/>
              <w:left w:val="nil"/>
              <w:bottom w:val="single" w:sz="4" w:space="0" w:color="auto"/>
              <w:right w:val="nil"/>
            </w:tcBorders>
            <w:vAlign w:val="center"/>
            <w:hideMark/>
          </w:tcPr>
          <w:p w14:paraId="543DD91B" w14:textId="77777777" w:rsidR="005A0CC1" w:rsidRPr="005A0CC1" w:rsidRDefault="005A0CC1" w:rsidP="005A0CC1">
            <w:pPr>
              <w:rPr>
                <w:rFonts w:ascii="Times New Roman" w:eastAsia="Times New Roman" w:hAnsi="Times New Roman" w:cs="Times New Roman"/>
                <w:sz w:val="20"/>
                <w:szCs w:val="20"/>
              </w:rPr>
            </w:pPr>
          </w:p>
        </w:tc>
      </w:tr>
      <w:tr w:rsidR="005A0CC1" w:rsidRPr="005A0CC1" w14:paraId="7DD32E73" w14:textId="77777777" w:rsidTr="001C7DE3">
        <w:trPr>
          <w:trHeight w:val="811"/>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271C8334" w14:textId="77777777" w:rsidR="005A0CC1" w:rsidRPr="005A0CC1" w:rsidRDefault="005A0CC1" w:rsidP="005A0CC1">
            <w:pPr>
              <w:jc w:val="center"/>
              <w:rPr>
                <w:rFonts w:ascii="Times New Roman" w:eastAsia="Times New Roman" w:hAnsi="Times New Roman" w:cs="Times New Roman"/>
                <w:sz w:val="20"/>
                <w:szCs w:val="20"/>
              </w:rPr>
            </w:pPr>
            <w:r w:rsidRPr="005A0CC1">
              <w:rPr>
                <w:rFonts w:ascii="Times New Roman" w:eastAsia="Times New Roman" w:hAnsi="Times New Roman" w:cs="Times New Roman"/>
                <w:sz w:val="20"/>
                <w:szCs w:val="20"/>
              </w:rPr>
              <w:t> </w:t>
            </w:r>
          </w:p>
        </w:tc>
        <w:tc>
          <w:tcPr>
            <w:tcW w:w="239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BE2228F"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NEKRETNINE I POKRETNINE U VLASNIŠTVU REPUBLIKE HRVATSKE:</w:t>
            </w:r>
          </w:p>
        </w:tc>
        <w:tc>
          <w:tcPr>
            <w:tcW w:w="257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D54720E"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 xml:space="preserve">NADLEŽNO TIJELO  KOJE UPRAVLJA ODNOSNO IZVRŠAVA POVJERENE POSLOVE UPRAVLJANJA NEKRETNINAMA  </w:t>
            </w:r>
          </w:p>
        </w:tc>
        <w:tc>
          <w:tcPr>
            <w:tcW w:w="3402"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BA88670"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PROCIJENJENA VRIJEDNOST NEKRETNINE ILI  UKUPNI IZNOS PROCIJENJENE NAKNADE</w:t>
            </w:r>
          </w:p>
        </w:tc>
        <w:tc>
          <w:tcPr>
            <w:tcW w:w="255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B3A3A32"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ODLUKU O POKRETANJU POSTUPKA RASPOLAGANJA I ODLUKU O RASPOLAGANJU NEKRETNINOM DONOSI:</w:t>
            </w:r>
          </w:p>
        </w:tc>
        <w:tc>
          <w:tcPr>
            <w:tcW w:w="4063"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03D78342"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RASPODJELA PRIHODA</w:t>
            </w:r>
          </w:p>
        </w:tc>
      </w:tr>
      <w:tr w:rsidR="005A0CC1" w:rsidRPr="005A0CC1" w14:paraId="3EB72B67" w14:textId="77777777" w:rsidTr="001C7DE3">
        <w:trPr>
          <w:trHeight w:val="412"/>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29A9E9D0"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1.</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67BAA19"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neizgrađeno građevinsko zemljište i građevine sa zemljištem nužnim za redovitu uporabu te građevine</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0139839C"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Županije</w:t>
            </w:r>
            <w:r w:rsidRPr="005A0CC1">
              <w:rPr>
                <w:rFonts w:ascii="Times New Roman" w:eastAsia="Times New Roman" w:hAnsi="Times New Roman" w:cs="Times New Roman"/>
                <w:color w:val="auto"/>
                <w:sz w:val="16"/>
                <w:szCs w:val="16"/>
              </w:rPr>
              <w:br/>
              <w:t>Gradovi sjedišta županija</w:t>
            </w:r>
            <w:r w:rsidRPr="005A0CC1">
              <w:rPr>
                <w:rFonts w:ascii="Times New Roman" w:eastAsia="Times New Roman" w:hAnsi="Times New Roman" w:cs="Times New Roman"/>
                <w:color w:val="auto"/>
                <w:sz w:val="16"/>
                <w:szCs w:val="16"/>
              </w:rPr>
              <w:br/>
              <w:t>Veliki gradovi</w:t>
            </w:r>
          </w:p>
        </w:tc>
        <w:tc>
          <w:tcPr>
            <w:tcW w:w="3402" w:type="dxa"/>
            <w:tcBorders>
              <w:top w:val="single" w:sz="4" w:space="0" w:color="auto"/>
              <w:left w:val="nil"/>
              <w:bottom w:val="single" w:sz="4" w:space="0" w:color="auto"/>
              <w:right w:val="single" w:sz="4" w:space="0" w:color="auto"/>
            </w:tcBorders>
            <w:noWrap/>
            <w:vAlign w:val="center"/>
            <w:hideMark/>
          </w:tcPr>
          <w:p w14:paraId="167ABB56"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&lt;= 130.000,00 EUR</w:t>
            </w:r>
          </w:p>
        </w:tc>
        <w:tc>
          <w:tcPr>
            <w:tcW w:w="2551" w:type="dxa"/>
            <w:tcBorders>
              <w:top w:val="single" w:sz="4" w:space="0" w:color="auto"/>
              <w:left w:val="nil"/>
              <w:bottom w:val="single" w:sz="4" w:space="0" w:color="auto"/>
              <w:right w:val="single" w:sz="4" w:space="0" w:color="auto"/>
            </w:tcBorders>
            <w:vAlign w:val="center"/>
            <w:hideMark/>
          </w:tcPr>
          <w:p w14:paraId="7D71868A"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Župan</w:t>
            </w:r>
            <w:r w:rsidRPr="005A0CC1">
              <w:rPr>
                <w:rFonts w:ascii="Times New Roman" w:eastAsia="Times New Roman" w:hAnsi="Times New Roman" w:cs="Times New Roman"/>
                <w:color w:val="auto"/>
                <w:sz w:val="16"/>
                <w:szCs w:val="16"/>
              </w:rPr>
              <w:br/>
              <w:t>Gradonačelnik</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07435F99"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60 % državni proračun</w:t>
            </w:r>
            <w:r w:rsidRPr="005A0CC1">
              <w:rPr>
                <w:rFonts w:ascii="Times New Roman" w:eastAsia="Times New Roman" w:hAnsi="Times New Roman" w:cs="Times New Roman"/>
                <w:sz w:val="16"/>
                <w:szCs w:val="16"/>
              </w:rPr>
              <w:br/>
              <w:t>20 % proračun županije i 20 % proračun jedinica lokalne samouprave na čijem području se nekretnina nalazi</w:t>
            </w:r>
          </w:p>
        </w:tc>
      </w:tr>
      <w:tr w:rsidR="005A0CC1" w:rsidRPr="005A0CC1" w14:paraId="2D96F62D" w14:textId="77777777" w:rsidTr="001C7DE3">
        <w:trPr>
          <w:trHeight w:val="47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408D873"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26478F0"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53805BC3"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7E4D3A1A"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130.000,01 EUR -1.000.000,00 EUR</w:t>
            </w:r>
          </w:p>
        </w:tc>
        <w:tc>
          <w:tcPr>
            <w:tcW w:w="2551" w:type="dxa"/>
            <w:tcBorders>
              <w:top w:val="single" w:sz="4" w:space="0" w:color="auto"/>
              <w:left w:val="nil"/>
              <w:bottom w:val="single" w:sz="4" w:space="0" w:color="auto"/>
              <w:right w:val="single" w:sz="4" w:space="0" w:color="auto"/>
            </w:tcBorders>
            <w:vAlign w:val="center"/>
            <w:hideMark/>
          </w:tcPr>
          <w:p w14:paraId="73BAF7B8"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Županijska skupština</w:t>
            </w:r>
            <w:r w:rsidRPr="005A0CC1">
              <w:rPr>
                <w:rFonts w:ascii="Times New Roman" w:eastAsia="Times New Roman" w:hAnsi="Times New Roman" w:cs="Times New Roman"/>
                <w:color w:val="auto"/>
                <w:sz w:val="16"/>
                <w:szCs w:val="16"/>
              </w:rPr>
              <w:br/>
              <w:t>Gradsko vijeće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66BE4CD8"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79014A20" w14:textId="77777777" w:rsidTr="001C7DE3">
        <w:trPr>
          <w:trHeight w:val="35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36EF1EB"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243887C"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13D7B4CC"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553FAEF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1.000.000,01 EUR - 1.500.000,00 EUR</w:t>
            </w:r>
          </w:p>
        </w:tc>
        <w:tc>
          <w:tcPr>
            <w:tcW w:w="2551" w:type="dxa"/>
            <w:tcBorders>
              <w:top w:val="single" w:sz="4" w:space="0" w:color="auto"/>
              <w:left w:val="nil"/>
              <w:bottom w:val="single" w:sz="4" w:space="0" w:color="auto"/>
              <w:right w:val="single" w:sz="4" w:space="0" w:color="auto"/>
            </w:tcBorders>
            <w:vAlign w:val="center"/>
            <w:hideMark/>
          </w:tcPr>
          <w:p w14:paraId="0728A7D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3DBC39C7"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69E6F099" w14:textId="77777777" w:rsidTr="001C7DE3">
        <w:trPr>
          <w:trHeight w:val="36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185AEBA"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08CEE36"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799B62E2"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592D6D10"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&gt;1.500.000,00 EUR</w:t>
            </w:r>
          </w:p>
        </w:tc>
        <w:tc>
          <w:tcPr>
            <w:tcW w:w="2551" w:type="dxa"/>
            <w:tcBorders>
              <w:top w:val="single" w:sz="4" w:space="0" w:color="auto"/>
              <w:left w:val="nil"/>
              <w:bottom w:val="single" w:sz="4" w:space="0" w:color="auto"/>
              <w:right w:val="single" w:sz="4" w:space="0" w:color="auto"/>
            </w:tcBorders>
            <w:vAlign w:val="center"/>
            <w:hideMark/>
          </w:tcPr>
          <w:p w14:paraId="3EBDED7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174C6C64"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75915261" w14:textId="77777777" w:rsidTr="001C7DE3">
        <w:trPr>
          <w:trHeight w:val="380"/>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5BA9073B"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 xml:space="preserve">2. </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E87409D"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 xml:space="preserve">stanovi i poslovni prostori </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25C6D39A"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DN d.o.o.</w:t>
            </w:r>
          </w:p>
        </w:tc>
        <w:tc>
          <w:tcPr>
            <w:tcW w:w="3402" w:type="dxa"/>
            <w:tcBorders>
              <w:top w:val="single" w:sz="4" w:space="0" w:color="auto"/>
              <w:left w:val="nil"/>
              <w:bottom w:val="single" w:sz="4" w:space="0" w:color="auto"/>
              <w:right w:val="single" w:sz="4" w:space="0" w:color="auto"/>
            </w:tcBorders>
            <w:noWrap/>
            <w:vAlign w:val="center"/>
            <w:hideMark/>
          </w:tcPr>
          <w:p w14:paraId="57B08B7E"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&lt;= 1.000.000,00 EUR</w:t>
            </w:r>
          </w:p>
        </w:tc>
        <w:tc>
          <w:tcPr>
            <w:tcW w:w="2551" w:type="dxa"/>
            <w:tcBorders>
              <w:top w:val="single" w:sz="4" w:space="0" w:color="auto"/>
              <w:left w:val="nil"/>
              <w:bottom w:val="single" w:sz="4" w:space="0" w:color="auto"/>
              <w:right w:val="single" w:sz="4" w:space="0" w:color="auto"/>
            </w:tcBorders>
            <w:vAlign w:val="center"/>
            <w:hideMark/>
          </w:tcPr>
          <w:p w14:paraId="2AE444B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DN d.o.o.</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122D7940"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prihodi od zakupa i najma nekretnina – 100 % DN d.o.o.</w:t>
            </w:r>
            <w:r w:rsidRPr="005A0CC1">
              <w:rPr>
                <w:rFonts w:ascii="Times New Roman" w:eastAsia="Times New Roman" w:hAnsi="Times New Roman" w:cs="Times New Roman"/>
                <w:sz w:val="16"/>
                <w:szCs w:val="16"/>
              </w:rPr>
              <w:br/>
              <w:t>prihod od ostalih vrsta raspolaganja:</w:t>
            </w:r>
            <w:r w:rsidRPr="005A0CC1">
              <w:rPr>
                <w:rFonts w:ascii="Times New Roman" w:eastAsia="Times New Roman" w:hAnsi="Times New Roman" w:cs="Times New Roman"/>
                <w:sz w:val="16"/>
                <w:szCs w:val="16"/>
              </w:rPr>
              <w:br/>
              <w:t>- 90 % državni proračun</w:t>
            </w:r>
            <w:r w:rsidRPr="005A0CC1">
              <w:rPr>
                <w:rFonts w:ascii="Times New Roman" w:eastAsia="Times New Roman" w:hAnsi="Times New Roman" w:cs="Times New Roman"/>
                <w:sz w:val="16"/>
                <w:szCs w:val="16"/>
              </w:rPr>
              <w:br/>
              <w:t>-10 % DN d.o.o.</w:t>
            </w:r>
          </w:p>
        </w:tc>
      </w:tr>
      <w:tr w:rsidR="005A0CC1" w:rsidRPr="005A0CC1" w14:paraId="432A426C" w14:textId="77777777" w:rsidTr="001C7DE3">
        <w:trPr>
          <w:trHeight w:val="3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312540A"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12EE6C3"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0F57AC99"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31851052"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1.000.000,01 EUR - 1.500.000,00 EUR</w:t>
            </w:r>
          </w:p>
        </w:tc>
        <w:tc>
          <w:tcPr>
            <w:tcW w:w="2551" w:type="dxa"/>
            <w:tcBorders>
              <w:top w:val="single" w:sz="4" w:space="0" w:color="auto"/>
              <w:left w:val="nil"/>
              <w:bottom w:val="single" w:sz="4" w:space="0" w:color="auto"/>
              <w:right w:val="single" w:sz="4" w:space="0" w:color="auto"/>
            </w:tcBorders>
            <w:vAlign w:val="center"/>
            <w:hideMark/>
          </w:tcPr>
          <w:p w14:paraId="58CFF01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3C3B1F3D"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6A331209" w14:textId="77777777" w:rsidTr="001C7DE3">
        <w:trPr>
          <w:trHeight w:val="262"/>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7430C37"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23871CB"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7A727473"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13EA5BC9"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&gt;1.500.000,00 EUR</w:t>
            </w:r>
          </w:p>
        </w:tc>
        <w:tc>
          <w:tcPr>
            <w:tcW w:w="2551" w:type="dxa"/>
            <w:tcBorders>
              <w:top w:val="single" w:sz="4" w:space="0" w:color="auto"/>
              <w:left w:val="nil"/>
              <w:bottom w:val="single" w:sz="4" w:space="0" w:color="auto"/>
              <w:right w:val="single" w:sz="4" w:space="0" w:color="auto"/>
            </w:tcBorders>
            <w:vAlign w:val="center"/>
            <w:hideMark/>
          </w:tcPr>
          <w:p w14:paraId="20CFF92D"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6596EDF1"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7B883DFD" w14:textId="77777777" w:rsidTr="001C7DE3">
        <w:trPr>
          <w:trHeight w:val="280"/>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4447DB28"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 xml:space="preserve"> 3. </w:t>
            </w:r>
          </w:p>
        </w:tc>
        <w:tc>
          <w:tcPr>
            <w:tcW w:w="239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3AF58FD"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rezidencijalni objekti</w:t>
            </w:r>
          </w:p>
        </w:tc>
        <w:tc>
          <w:tcPr>
            <w:tcW w:w="2571" w:type="dxa"/>
            <w:tcBorders>
              <w:top w:val="single" w:sz="4" w:space="0" w:color="auto"/>
              <w:left w:val="nil"/>
              <w:bottom w:val="single" w:sz="4" w:space="0" w:color="auto"/>
              <w:right w:val="single" w:sz="4" w:space="0" w:color="auto"/>
            </w:tcBorders>
            <w:vAlign w:val="center"/>
            <w:hideMark/>
          </w:tcPr>
          <w:p w14:paraId="48F59204"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DN d.o.o.</w:t>
            </w:r>
          </w:p>
        </w:tc>
        <w:tc>
          <w:tcPr>
            <w:tcW w:w="3402" w:type="dxa"/>
            <w:tcBorders>
              <w:top w:val="single" w:sz="4" w:space="0" w:color="auto"/>
              <w:left w:val="nil"/>
              <w:bottom w:val="single" w:sz="4" w:space="0" w:color="auto"/>
              <w:right w:val="single" w:sz="4" w:space="0" w:color="auto"/>
            </w:tcBorders>
            <w:noWrap/>
            <w:vAlign w:val="center"/>
            <w:hideMark/>
          </w:tcPr>
          <w:p w14:paraId="0FEF6E76"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 </w:t>
            </w:r>
          </w:p>
        </w:tc>
        <w:tc>
          <w:tcPr>
            <w:tcW w:w="2551" w:type="dxa"/>
            <w:tcBorders>
              <w:top w:val="single" w:sz="4" w:space="0" w:color="auto"/>
              <w:left w:val="nil"/>
              <w:bottom w:val="single" w:sz="4" w:space="0" w:color="auto"/>
              <w:right w:val="single" w:sz="4" w:space="0" w:color="auto"/>
            </w:tcBorders>
            <w:noWrap/>
            <w:vAlign w:val="center"/>
            <w:hideMark/>
          </w:tcPr>
          <w:p w14:paraId="6F6D5186"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 </w:t>
            </w:r>
          </w:p>
        </w:tc>
        <w:tc>
          <w:tcPr>
            <w:tcW w:w="4063" w:type="dxa"/>
            <w:tcBorders>
              <w:top w:val="single" w:sz="4" w:space="0" w:color="auto"/>
              <w:left w:val="nil"/>
              <w:bottom w:val="single" w:sz="4" w:space="0" w:color="auto"/>
              <w:right w:val="single" w:sz="4" w:space="0" w:color="auto"/>
            </w:tcBorders>
            <w:noWrap/>
            <w:vAlign w:val="center"/>
            <w:hideMark/>
          </w:tcPr>
          <w:p w14:paraId="4FDD6569"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100 % DN d.o.o.</w:t>
            </w:r>
          </w:p>
        </w:tc>
      </w:tr>
      <w:tr w:rsidR="005A0CC1" w:rsidRPr="005A0CC1" w14:paraId="33BFA503" w14:textId="77777777" w:rsidTr="001C7DE3">
        <w:trPr>
          <w:trHeight w:val="330"/>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34BF12BD"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4.</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13EB201"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kamp i neprocijenjeno građevinsko zemljište</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7D3FA5EE"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MPGI</w:t>
            </w:r>
          </w:p>
        </w:tc>
        <w:tc>
          <w:tcPr>
            <w:tcW w:w="3402" w:type="dxa"/>
            <w:tcBorders>
              <w:top w:val="single" w:sz="4" w:space="0" w:color="auto"/>
              <w:left w:val="nil"/>
              <w:bottom w:val="single" w:sz="4" w:space="0" w:color="auto"/>
              <w:right w:val="single" w:sz="4" w:space="0" w:color="auto"/>
            </w:tcBorders>
            <w:noWrap/>
            <w:vAlign w:val="center"/>
            <w:hideMark/>
          </w:tcPr>
          <w:p w14:paraId="0DCD85F0"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&lt;= 1.500.000,00 EUR</w:t>
            </w:r>
          </w:p>
        </w:tc>
        <w:tc>
          <w:tcPr>
            <w:tcW w:w="2551" w:type="dxa"/>
            <w:tcBorders>
              <w:top w:val="single" w:sz="4" w:space="0" w:color="auto"/>
              <w:left w:val="nil"/>
              <w:bottom w:val="single" w:sz="4" w:space="0" w:color="auto"/>
              <w:right w:val="single" w:sz="4" w:space="0" w:color="auto"/>
            </w:tcBorders>
            <w:vAlign w:val="center"/>
            <w:hideMark/>
          </w:tcPr>
          <w:p w14:paraId="20980003"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024532EF"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na način propisan zakonom kojim se uređuje neprocijenjeno građevinsko zemljište</w:t>
            </w:r>
          </w:p>
        </w:tc>
      </w:tr>
      <w:tr w:rsidR="005A0CC1" w:rsidRPr="005A0CC1" w14:paraId="31FDB689" w14:textId="77777777" w:rsidTr="001C7DE3">
        <w:trPr>
          <w:trHeight w:val="359"/>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A2A21AF" w14:textId="77777777" w:rsidR="005A0CC1" w:rsidRPr="005A0CC1" w:rsidRDefault="005A0CC1" w:rsidP="005A0CC1">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5B0CE5" w14:textId="77777777" w:rsidR="005A0CC1" w:rsidRPr="005A0CC1" w:rsidRDefault="005A0CC1" w:rsidP="005A0CC1">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490A6A42" w14:textId="77777777" w:rsidR="005A0CC1" w:rsidRPr="005A0CC1" w:rsidRDefault="005A0CC1" w:rsidP="005A0CC1">
            <w:pPr>
              <w:rPr>
                <w:rFonts w:ascii="Times New Roman" w:eastAsia="Times New Roman" w:hAnsi="Times New Roman" w:cs="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2F9B413E"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&gt; 1.500.000,00 EUR</w:t>
            </w:r>
          </w:p>
        </w:tc>
        <w:tc>
          <w:tcPr>
            <w:tcW w:w="2551" w:type="dxa"/>
            <w:tcBorders>
              <w:top w:val="single" w:sz="4" w:space="0" w:color="auto"/>
              <w:left w:val="nil"/>
              <w:bottom w:val="single" w:sz="4" w:space="0" w:color="auto"/>
              <w:right w:val="single" w:sz="4" w:space="0" w:color="auto"/>
            </w:tcBorders>
            <w:vAlign w:val="center"/>
            <w:hideMark/>
          </w:tcPr>
          <w:p w14:paraId="7222A423"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35FFD0E5" w14:textId="77777777" w:rsidR="005A0CC1" w:rsidRPr="005A0CC1" w:rsidRDefault="005A0CC1" w:rsidP="005A0CC1">
            <w:pPr>
              <w:rPr>
                <w:rFonts w:ascii="Times New Roman" w:eastAsia="Times New Roman" w:hAnsi="Times New Roman" w:cs="Times New Roman"/>
                <w:sz w:val="16"/>
                <w:szCs w:val="16"/>
              </w:rPr>
            </w:pPr>
          </w:p>
        </w:tc>
      </w:tr>
      <w:tr w:rsidR="005A0CC1" w:rsidRPr="005A0CC1" w14:paraId="7B6C4D0B" w14:textId="77777777" w:rsidTr="001C7DE3">
        <w:trPr>
          <w:trHeight w:val="832"/>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6D507B56"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5.</w:t>
            </w:r>
          </w:p>
        </w:tc>
        <w:tc>
          <w:tcPr>
            <w:tcW w:w="239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3987CB7"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nekretnine pod posebnim načinom upravljanja</w:t>
            </w:r>
            <w:r w:rsidRPr="005A0CC1">
              <w:rPr>
                <w:rFonts w:ascii="Times New Roman" w:eastAsia="Times New Roman" w:hAnsi="Times New Roman" w:cs="Times New Roman"/>
                <w:b/>
                <w:bCs/>
                <w:sz w:val="20"/>
                <w:szCs w:val="20"/>
                <w:vertAlign w:val="superscript"/>
              </w:rPr>
              <w:footnoteReference w:id="2"/>
            </w:r>
          </w:p>
        </w:tc>
        <w:tc>
          <w:tcPr>
            <w:tcW w:w="2571" w:type="dxa"/>
            <w:tcBorders>
              <w:top w:val="single" w:sz="4" w:space="0" w:color="auto"/>
              <w:left w:val="nil"/>
              <w:bottom w:val="single" w:sz="4" w:space="0" w:color="auto"/>
              <w:right w:val="single" w:sz="4" w:space="0" w:color="auto"/>
            </w:tcBorders>
            <w:vAlign w:val="center"/>
            <w:hideMark/>
          </w:tcPr>
          <w:p w14:paraId="4BF556AA"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MPGI</w:t>
            </w:r>
          </w:p>
        </w:tc>
        <w:tc>
          <w:tcPr>
            <w:tcW w:w="3402" w:type="dxa"/>
            <w:tcBorders>
              <w:top w:val="single" w:sz="4" w:space="0" w:color="auto"/>
              <w:left w:val="nil"/>
              <w:bottom w:val="single" w:sz="4" w:space="0" w:color="auto"/>
              <w:right w:val="single" w:sz="4" w:space="0" w:color="auto"/>
            </w:tcBorders>
            <w:noWrap/>
            <w:vAlign w:val="center"/>
            <w:hideMark/>
          </w:tcPr>
          <w:p w14:paraId="1E0A9DF6"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 </w:t>
            </w:r>
          </w:p>
        </w:tc>
        <w:tc>
          <w:tcPr>
            <w:tcW w:w="2551" w:type="dxa"/>
            <w:tcBorders>
              <w:top w:val="single" w:sz="4" w:space="0" w:color="auto"/>
              <w:left w:val="nil"/>
              <w:bottom w:val="single" w:sz="4" w:space="0" w:color="auto"/>
              <w:right w:val="single" w:sz="4" w:space="0" w:color="auto"/>
            </w:tcBorders>
            <w:noWrap/>
            <w:vAlign w:val="center"/>
            <w:hideMark/>
          </w:tcPr>
          <w:p w14:paraId="185AB6EB"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tcBorders>
              <w:top w:val="single" w:sz="4" w:space="0" w:color="auto"/>
              <w:left w:val="nil"/>
              <w:bottom w:val="single" w:sz="4" w:space="0" w:color="auto"/>
              <w:right w:val="single" w:sz="4" w:space="0" w:color="auto"/>
            </w:tcBorders>
            <w:vAlign w:val="center"/>
            <w:hideMark/>
          </w:tcPr>
          <w:p w14:paraId="6B2812F6"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60 % državni proračun</w:t>
            </w:r>
            <w:r w:rsidRPr="005A0CC1">
              <w:rPr>
                <w:rFonts w:ascii="Times New Roman" w:eastAsia="Times New Roman" w:hAnsi="Times New Roman" w:cs="Times New Roman"/>
                <w:sz w:val="16"/>
                <w:szCs w:val="16"/>
              </w:rPr>
              <w:br/>
              <w:t>20 % proračun županije i 20 % proračun jedinica lokalne samouprave na čijem području se nekretnina nalazi</w:t>
            </w:r>
          </w:p>
        </w:tc>
      </w:tr>
      <w:tr w:rsidR="005A0CC1" w:rsidRPr="005A0CC1" w14:paraId="10989EAB" w14:textId="77777777" w:rsidTr="001C7DE3">
        <w:trPr>
          <w:trHeight w:val="296"/>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04D48B92"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6.</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8FB1B28" w14:textId="77777777" w:rsidR="005A0CC1" w:rsidRPr="005A0CC1" w:rsidRDefault="005A0CC1" w:rsidP="005A0CC1">
            <w:pPr>
              <w:jc w:val="center"/>
              <w:rPr>
                <w:rFonts w:ascii="Times New Roman" w:eastAsia="Times New Roman" w:hAnsi="Times New Roman" w:cs="Times New Roman"/>
                <w:b/>
                <w:bCs/>
                <w:sz w:val="16"/>
                <w:szCs w:val="16"/>
              </w:rPr>
            </w:pPr>
            <w:r w:rsidRPr="005A0CC1">
              <w:rPr>
                <w:rFonts w:ascii="Times New Roman" w:eastAsia="Times New Roman" w:hAnsi="Times New Roman" w:cs="Times New Roman"/>
                <w:b/>
                <w:bCs/>
                <w:sz w:val="16"/>
                <w:szCs w:val="16"/>
              </w:rPr>
              <w:t>nekretnine u vlasništvu Republike Hrvatske od strateškog značaja za Republiku Hrvatsku</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044DB370"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MPGI</w:t>
            </w:r>
          </w:p>
        </w:tc>
        <w:tc>
          <w:tcPr>
            <w:tcW w:w="3402" w:type="dxa"/>
            <w:tcBorders>
              <w:top w:val="single" w:sz="4" w:space="0" w:color="auto"/>
              <w:left w:val="nil"/>
              <w:bottom w:val="single" w:sz="4" w:space="0" w:color="auto"/>
              <w:right w:val="single" w:sz="4" w:space="0" w:color="auto"/>
            </w:tcBorders>
            <w:noWrap/>
            <w:vAlign w:val="center"/>
            <w:hideMark/>
          </w:tcPr>
          <w:p w14:paraId="33E9845D"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&lt;= 1.500.000,00 EUR</w:t>
            </w:r>
          </w:p>
        </w:tc>
        <w:tc>
          <w:tcPr>
            <w:tcW w:w="2551" w:type="dxa"/>
            <w:tcBorders>
              <w:top w:val="single" w:sz="4" w:space="0" w:color="auto"/>
              <w:left w:val="nil"/>
              <w:bottom w:val="single" w:sz="4" w:space="0" w:color="auto"/>
              <w:right w:val="single" w:sz="4" w:space="0" w:color="auto"/>
            </w:tcBorders>
            <w:vAlign w:val="center"/>
            <w:hideMark/>
          </w:tcPr>
          <w:p w14:paraId="2087B1DD"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10BF291B"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60 % državni proračun</w:t>
            </w:r>
            <w:r w:rsidRPr="005A0CC1">
              <w:rPr>
                <w:rFonts w:ascii="Times New Roman" w:eastAsia="Times New Roman" w:hAnsi="Times New Roman" w:cs="Times New Roman"/>
                <w:sz w:val="16"/>
                <w:szCs w:val="16"/>
              </w:rPr>
              <w:br/>
              <w:t>20 % proračun županije i 20 % proračun jedinica lokalne samouprave na čijem području se nekretnina nalazi</w:t>
            </w:r>
          </w:p>
        </w:tc>
      </w:tr>
      <w:tr w:rsidR="005A0CC1" w:rsidRPr="005A0CC1" w14:paraId="2910852A" w14:textId="77777777" w:rsidTr="001C7DE3">
        <w:trPr>
          <w:trHeight w:val="25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A0BBFE4" w14:textId="77777777" w:rsidR="005A0CC1" w:rsidRPr="005A0CC1" w:rsidRDefault="005A0CC1" w:rsidP="005A0CC1">
            <w:pPr>
              <w:rPr>
                <w:rFonts w:eastAsia="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FCD6964" w14:textId="77777777" w:rsidR="005A0CC1" w:rsidRPr="005A0CC1" w:rsidRDefault="005A0CC1" w:rsidP="005A0CC1">
            <w:pPr>
              <w:rPr>
                <w:rFonts w:eastAsia="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4650F9D2" w14:textId="77777777" w:rsidR="005A0CC1" w:rsidRPr="005A0CC1" w:rsidRDefault="005A0CC1" w:rsidP="005A0CC1">
            <w:pPr>
              <w:rPr>
                <w:rFonts w:eastAsia="Times New Roman"/>
                <w:color w:val="auto"/>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2B8CB49F"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&gt; 1.500.000,00 EUR</w:t>
            </w:r>
          </w:p>
        </w:tc>
        <w:tc>
          <w:tcPr>
            <w:tcW w:w="2551" w:type="dxa"/>
            <w:tcBorders>
              <w:top w:val="single" w:sz="4" w:space="0" w:color="auto"/>
              <w:left w:val="nil"/>
              <w:bottom w:val="single" w:sz="4" w:space="0" w:color="auto"/>
              <w:right w:val="single" w:sz="4" w:space="0" w:color="auto"/>
            </w:tcBorders>
            <w:vAlign w:val="center"/>
            <w:hideMark/>
          </w:tcPr>
          <w:p w14:paraId="4FFA0E9A"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470F17CA" w14:textId="77777777" w:rsidR="005A0CC1" w:rsidRPr="005A0CC1" w:rsidRDefault="005A0CC1" w:rsidP="005A0CC1">
            <w:pPr>
              <w:rPr>
                <w:rFonts w:eastAsia="Times New Roman"/>
                <w:sz w:val="16"/>
                <w:szCs w:val="16"/>
              </w:rPr>
            </w:pPr>
          </w:p>
        </w:tc>
      </w:tr>
      <w:tr w:rsidR="005A0CC1" w:rsidRPr="005A0CC1" w14:paraId="645F916D" w14:textId="77777777" w:rsidTr="001C7DE3">
        <w:trPr>
          <w:trHeight w:val="294"/>
        </w:trPr>
        <w:tc>
          <w:tcPr>
            <w:tcW w:w="426" w:type="dxa"/>
            <w:vMerge w:val="restart"/>
            <w:tcBorders>
              <w:top w:val="single" w:sz="4" w:space="0" w:color="auto"/>
              <w:left w:val="single" w:sz="4" w:space="0" w:color="auto"/>
              <w:bottom w:val="single" w:sz="4" w:space="0" w:color="auto"/>
              <w:right w:val="single" w:sz="4" w:space="0" w:color="auto"/>
            </w:tcBorders>
            <w:vAlign w:val="center"/>
          </w:tcPr>
          <w:p w14:paraId="79D15B7E"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7.</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AFFCA9" w14:textId="77777777" w:rsidR="005A0CC1" w:rsidRPr="005A0CC1" w:rsidRDefault="005A0CC1" w:rsidP="005A0CC1">
            <w:pPr>
              <w:jc w:val="center"/>
              <w:rPr>
                <w:rFonts w:eastAsia="Times New Roman"/>
                <w:b/>
                <w:bCs/>
                <w:sz w:val="16"/>
                <w:szCs w:val="16"/>
              </w:rPr>
            </w:pPr>
            <w:r w:rsidRPr="005A0CC1">
              <w:rPr>
                <w:rFonts w:ascii="Times New Roman" w:eastAsia="Times New Roman" w:hAnsi="Times New Roman" w:cs="Times New Roman"/>
                <w:b/>
                <w:bCs/>
                <w:sz w:val="16"/>
                <w:szCs w:val="16"/>
              </w:rPr>
              <w:t>pokretnine</w:t>
            </w:r>
          </w:p>
        </w:tc>
        <w:tc>
          <w:tcPr>
            <w:tcW w:w="2571" w:type="dxa"/>
            <w:vMerge w:val="restart"/>
            <w:tcBorders>
              <w:top w:val="single" w:sz="4" w:space="0" w:color="auto"/>
              <w:left w:val="single" w:sz="4" w:space="0" w:color="auto"/>
              <w:bottom w:val="single" w:sz="4" w:space="0" w:color="auto"/>
              <w:right w:val="single" w:sz="4" w:space="0" w:color="auto"/>
            </w:tcBorders>
            <w:vAlign w:val="center"/>
          </w:tcPr>
          <w:p w14:paraId="4D7CE464" w14:textId="77777777" w:rsidR="005A0CC1" w:rsidRPr="005A0CC1" w:rsidRDefault="005A0CC1" w:rsidP="005A0CC1">
            <w:pPr>
              <w:jc w:val="center"/>
              <w:rPr>
                <w:rFonts w:eastAsia="Times New Roman"/>
                <w:color w:val="auto"/>
                <w:sz w:val="16"/>
                <w:szCs w:val="16"/>
              </w:rPr>
            </w:pPr>
            <w:r w:rsidRPr="005A0CC1">
              <w:rPr>
                <w:rFonts w:ascii="Times New Roman" w:eastAsia="Times New Roman" w:hAnsi="Times New Roman" w:cs="Times New Roman"/>
                <w:color w:val="auto"/>
                <w:sz w:val="16"/>
                <w:szCs w:val="16"/>
              </w:rPr>
              <w:t>MPGI</w:t>
            </w:r>
          </w:p>
        </w:tc>
        <w:tc>
          <w:tcPr>
            <w:tcW w:w="3402" w:type="dxa"/>
            <w:tcBorders>
              <w:top w:val="single" w:sz="4" w:space="0" w:color="auto"/>
              <w:left w:val="nil"/>
              <w:bottom w:val="single" w:sz="4" w:space="0" w:color="auto"/>
              <w:right w:val="single" w:sz="4" w:space="0" w:color="auto"/>
            </w:tcBorders>
            <w:noWrap/>
            <w:vAlign w:val="center"/>
          </w:tcPr>
          <w:p w14:paraId="4B52BA0D"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&lt;= 1.500.000,00 EUR</w:t>
            </w:r>
          </w:p>
        </w:tc>
        <w:tc>
          <w:tcPr>
            <w:tcW w:w="2551" w:type="dxa"/>
            <w:tcBorders>
              <w:top w:val="single" w:sz="4" w:space="0" w:color="auto"/>
              <w:left w:val="nil"/>
              <w:bottom w:val="single" w:sz="4" w:space="0" w:color="auto"/>
              <w:right w:val="single" w:sz="4" w:space="0" w:color="auto"/>
            </w:tcBorders>
            <w:vAlign w:val="center"/>
          </w:tcPr>
          <w:p w14:paraId="3FB869E0"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M</w:t>
            </w:r>
            <w:r w:rsidRPr="005A0CC1">
              <w:rPr>
                <w:rFonts w:ascii="Times New Roman" w:eastAsia="Times New Roman" w:hAnsi="Times New Roman" w:cs="Times New Roman"/>
                <w:strike/>
                <w:color w:val="auto"/>
                <w:sz w:val="16"/>
                <w:szCs w:val="16"/>
              </w:rPr>
              <w:t>i</w:t>
            </w:r>
            <w:r w:rsidRPr="005A0CC1">
              <w:rPr>
                <w:rFonts w:ascii="Times New Roman" w:eastAsia="Times New Roman" w:hAnsi="Times New Roman" w:cs="Times New Roman"/>
                <w:color w:val="auto"/>
                <w:sz w:val="16"/>
                <w:szCs w:val="16"/>
              </w:rPr>
              <w:t>nistar</w:t>
            </w:r>
          </w:p>
        </w:tc>
        <w:tc>
          <w:tcPr>
            <w:tcW w:w="4063" w:type="dxa"/>
            <w:vMerge w:val="restart"/>
            <w:tcBorders>
              <w:top w:val="single" w:sz="4" w:space="0" w:color="auto"/>
              <w:left w:val="single" w:sz="4" w:space="0" w:color="auto"/>
              <w:bottom w:val="single" w:sz="4" w:space="0" w:color="auto"/>
              <w:right w:val="single" w:sz="4" w:space="0" w:color="auto"/>
            </w:tcBorders>
            <w:vAlign w:val="center"/>
          </w:tcPr>
          <w:p w14:paraId="20C29875" w14:textId="77777777" w:rsidR="005A0CC1" w:rsidRPr="005A0CC1" w:rsidRDefault="005A0CC1" w:rsidP="005A0CC1">
            <w:pPr>
              <w:jc w:val="center"/>
              <w:rPr>
                <w:rFonts w:eastAsia="Times New Roman"/>
                <w:sz w:val="16"/>
                <w:szCs w:val="16"/>
              </w:rPr>
            </w:pPr>
            <w:r w:rsidRPr="005A0CC1">
              <w:rPr>
                <w:rFonts w:ascii="Times New Roman" w:eastAsia="Times New Roman" w:hAnsi="Times New Roman" w:cs="Times New Roman"/>
                <w:sz w:val="16"/>
                <w:szCs w:val="16"/>
              </w:rPr>
              <w:t>100 % državni proračun</w:t>
            </w:r>
          </w:p>
        </w:tc>
      </w:tr>
      <w:tr w:rsidR="005A0CC1" w:rsidRPr="005A0CC1" w14:paraId="761F9CC6" w14:textId="77777777" w:rsidTr="001C7DE3">
        <w:trPr>
          <w:trHeight w:val="58"/>
        </w:trPr>
        <w:tc>
          <w:tcPr>
            <w:tcW w:w="426" w:type="dxa"/>
            <w:vMerge/>
            <w:tcBorders>
              <w:top w:val="single" w:sz="4" w:space="0" w:color="auto"/>
              <w:left w:val="single" w:sz="4" w:space="0" w:color="auto"/>
              <w:bottom w:val="single" w:sz="4" w:space="0" w:color="auto"/>
              <w:right w:val="single" w:sz="4" w:space="0" w:color="auto"/>
            </w:tcBorders>
            <w:vAlign w:val="center"/>
          </w:tcPr>
          <w:p w14:paraId="415AE308" w14:textId="77777777" w:rsidR="005A0CC1" w:rsidRPr="005A0CC1" w:rsidRDefault="005A0CC1" w:rsidP="005A0CC1">
            <w:pPr>
              <w:rPr>
                <w:rFonts w:eastAsia="Times New Roman"/>
                <w:sz w:val="20"/>
                <w:szCs w:val="20"/>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C47AFA" w14:textId="77777777" w:rsidR="005A0CC1" w:rsidRPr="005A0CC1" w:rsidRDefault="005A0CC1" w:rsidP="005A0CC1">
            <w:pPr>
              <w:rPr>
                <w:rFonts w:eastAsia="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tcPr>
          <w:p w14:paraId="4AAEB730" w14:textId="77777777" w:rsidR="005A0CC1" w:rsidRPr="005A0CC1" w:rsidRDefault="005A0CC1" w:rsidP="005A0CC1">
            <w:pPr>
              <w:rPr>
                <w:rFonts w:eastAsia="Times New Roman"/>
                <w:color w:val="auto"/>
                <w:sz w:val="20"/>
                <w:szCs w:val="20"/>
              </w:rPr>
            </w:pPr>
          </w:p>
        </w:tc>
        <w:tc>
          <w:tcPr>
            <w:tcW w:w="3402" w:type="dxa"/>
            <w:tcBorders>
              <w:top w:val="single" w:sz="4" w:space="0" w:color="auto"/>
              <w:left w:val="nil"/>
              <w:bottom w:val="single" w:sz="4" w:space="0" w:color="auto"/>
              <w:right w:val="single" w:sz="4" w:space="0" w:color="auto"/>
            </w:tcBorders>
            <w:noWrap/>
            <w:vAlign w:val="center"/>
          </w:tcPr>
          <w:p w14:paraId="2BB69BA2" w14:textId="77777777" w:rsidR="005A0CC1" w:rsidRPr="005A0CC1" w:rsidRDefault="005A0CC1" w:rsidP="005A0CC1">
            <w:pPr>
              <w:spacing w:before="60" w:after="60"/>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&gt; 1.500.000,00 EUR</w:t>
            </w:r>
          </w:p>
        </w:tc>
        <w:tc>
          <w:tcPr>
            <w:tcW w:w="2551" w:type="dxa"/>
            <w:tcBorders>
              <w:top w:val="single" w:sz="4" w:space="0" w:color="auto"/>
              <w:left w:val="nil"/>
              <w:bottom w:val="single" w:sz="4" w:space="0" w:color="auto"/>
              <w:right w:val="single" w:sz="4" w:space="0" w:color="auto"/>
            </w:tcBorders>
            <w:vAlign w:val="center"/>
          </w:tcPr>
          <w:p w14:paraId="177D5E9C" w14:textId="77777777" w:rsidR="005A0CC1" w:rsidRPr="005A0CC1" w:rsidRDefault="005A0CC1" w:rsidP="005A0CC1">
            <w:pPr>
              <w:jc w:val="center"/>
              <w:rPr>
                <w:rFonts w:ascii="Times New Roman" w:eastAsia="Times New Roman" w:hAnsi="Times New Roman" w:cs="Times New Roman"/>
                <w:color w:val="auto"/>
                <w:sz w:val="16"/>
                <w:szCs w:val="16"/>
              </w:rPr>
            </w:pPr>
            <w:r w:rsidRPr="005A0CC1">
              <w:rPr>
                <w:rFonts w:ascii="Times New Roman" w:eastAsia="Times New Roman" w:hAnsi="Times New Roman" w:cs="Times New Roman"/>
                <w:color w:val="auto"/>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tcPr>
          <w:p w14:paraId="3FA34876" w14:textId="77777777" w:rsidR="005A0CC1" w:rsidRPr="005A0CC1" w:rsidRDefault="005A0CC1" w:rsidP="005A0CC1">
            <w:pPr>
              <w:rPr>
                <w:rFonts w:eastAsia="Times New Roman"/>
                <w:sz w:val="20"/>
                <w:szCs w:val="20"/>
              </w:rPr>
            </w:pPr>
          </w:p>
        </w:tc>
      </w:tr>
      <w:tr w:rsidR="005A0CC1" w:rsidRPr="005A0CC1" w14:paraId="2B47D9B6" w14:textId="77777777" w:rsidTr="001C7DE3">
        <w:trPr>
          <w:trHeight w:val="340"/>
        </w:trPr>
        <w:tc>
          <w:tcPr>
            <w:tcW w:w="426" w:type="dxa"/>
            <w:vMerge w:val="restart"/>
            <w:tcBorders>
              <w:top w:val="single" w:sz="4" w:space="0" w:color="auto"/>
              <w:left w:val="single" w:sz="4" w:space="0" w:color="auto"/>
              <w:right w:val="single" w:sz="4" w:space="0" w:color="auto"/>
            </w:tcBorders>
            <w:vAlign w:val="center"/>
          </w:tcPr>
          <w:p w14:paraId="35CE43D4" w14:textId="77777777" w:rsidR="005A0CC1" w:rsidRPr="005A0CC1" w:rsidRDefault="005A0CC1" w:rsidP="005A0CC1">
            <w:pPr>
              <w:jc w:val="center"/>
              <w:rPr>
                <w:rFonts w:eastAsia="Times New Roman"/>
                <w:sz w:val="20"/>
                <w:szCs w:val="20"/>
              </w:rPr>
            </w:pPr>
            <w:r w:rsidRPr="005A0CC1">
              <w:rPr>
                <w:rFonts w:ascii="Times New Roman" w:eastAsia="Times New Roman" w:hAnsi="Times New Roman" w:cs="Times New Roman"/>
                <w:sz w:val="16"/>
                <w:szCs w:val="16"/>
              </w:rPr>
              <w:t>8.</w:t>
            </w:r>
          </w:p>
        </w:tc>
        <w:tc>
          <w:tcPr>
            <w:tcW w:w="2391" w:type="dxa"/>
            <w:vMerge w:val="restart"/>
            <w:tcBorders>
              <w:top w:val="single" w:sz="4" w:space="0" w:color="auto"/>
              <w:left w:val="single" w:sz="4" w:space="0" w:color="auto"/>
              <w:right w:val="single" w:sz="4" w:space="0" w:color="auto"/>
            </w:tcBorders>
            <w:shd w:val="clear" w:color="auto" w:fill="D9E2F3" w:themeFill="accent1" w:themeFillTint="33"/>
            <w:vAlign w:val="center"/>
          </w:tcPr>
          <w:p w14:paraId="450CE512" w14:textId="77777777" w:rsidR="005A0CC1" w:rsidRPr="005A0CC1" w:rsidRDefault="005A0CC1" w:rsidP="005A0CC1">
            <w:pPr>
              <w:jc w:val="center"/>
              <w:rPr>
                <w:rFonts w:eastAsia="Times New Roman"/>
                <w:b/>
                <w:bCs/>
                <w:sz w:val="16"/>
                <w:szCs w:val="16"/>
              </w:rPr>
            </w:pPr>
            <w:r w:rsidRPr="005A0CC1">
              <w:rPr>
                <w:rFonts w:ascii="Times New Roman" w:eastAsia="Times New Roman" w:hAnsi="Times New Roman" w:cs="Times New Roman"/>
                <w:b/>
                <w:bCs/>
                <w:sz w:val="16"/>
                <w:szCs w:val="16"/>
              </w:rPr>
              <w:t>planinarski objekti</w:t>
            </w:r>
          </w:p>
        </w:tc>
        <w:tc>
          <w:tcPr>
            <w:tcW w:w="2571" w:type="dxa"/>
            <w:tcBorders>
              <w:top w:val="single" w:sz="4" w:space="0" w:color="auto"/>
              <w:left w:val="single" w:sz="4" w:space="0" w:color="auto"/>
              <w:bottom w:val="single" w:sz="4" w:space="0" w:color="auto"/>
              <w:right w:val="single" w:sz="4" w:space="0" w:color="auto"/>
            </w:tcBorders>
            <w:vAlign w:val="center"/>
          </w:tcPr>
          <w:p w14:paraId="1ABCC134" w14:textId="77777777" w:rsidR="005A0CC1" w:rsidRPr="005A0CC1" w:rsidRDefault="005A0CC1" w:rsidP="005A0CC1">
            <w:pPr>
              <w:jc w:val="center"/>
              <w:rPr>
                <w:rFonts w:ascii="Times New Roman" w:eastAsia="Times New Roman" w:hAnsi="Times New Roman" w:cs="Times New Roman"/>
                <w:sz w:val="16"/>
                <w:szCs w:val="16"/>
              </w:rPr>
            </w:pPr>
          </w:p>
          <w:p w14:paraId="564C9D50"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Javne ustanove</w:t>
            </w:r>
          </w:p>
          <w:p w14:paraId="543BF375" w14:textId="77777777" w:rsidR="005A0CC1" w:rsidRPr="005A0CC1" w:rsidRDefault="005A0CC1" w:rsidP="005A0CC1">
            <w:pPr>
              <w:jc w:val="center"/>
              <w:rPr>
                <w:rFonts w:ascii="Times New Roman" w:eastAsia="Times New Roman" w:hAnsi="Times New Roman" w:cs="Times New Roman"/>
                <w:sz w:val="16"/>
                <w:szCs w:val="16"/>
              </w:rPr>
            </w:pPr>
          </w:p>
        </w:tc>
        <w:tc>
          <w:tcPr>
            <w:tcW w:w="10016" w:type="dxa"/>
            <w:gridSpan w:val="3"/>
            <w:tcBorders>
              <w:top w:val="single" w:sz="4" w:space="0" w:color="auto"/>
              <w:left w:val="nil"/>
              <w:bottom w:val="single" w:sz="4" w:space="0" w:color="auto"/>
              <w:right w:val="single" w:sz="4" w:space="0" w:color="auto"/>
            </w:tcBorders>
            <w:noWrap/>
            <w:vAlign w:val="center"/>
          </w:tcPr>
          <w:p w14:paraId="1AF7B0D7"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Poslovi upravljanja planinarskim objektima koji se nalaze na području nacionalnog parka ili parka prirode</w:t>
            </w:r>
          </w:p>
        </w:tc>
      </w:tr>
      <w:tr w:rsidR="005A0CC1" w:rsidRPr="005A0CC1" w14:paraId="366D2170" w14:textId="77777777" w:rsidTr="001C7DE3">
        <w:trPr>
          <w:trHeight w:val="332"/>
        </w:trPr>
        <w:tc>
          <w:tcPr>
            <w:tcW w:w="426" w:type="dxa"/>
            <w:vMerge/>
            <w:tcBorders>
              <w:left w:val="single" w:sz="4" w:space="0" w:color="auto"/>
              <w:bottom w:val="single" w:sz="4" w:space="0" w:color="auto"/>
              <w:right w:val="single" w:sz="4" w:space="0" w:color="auto"/>
            </w:tcBorders>
            <w:vAlign w:val="center"/>
          </w:tcPr>
          <w:p w14:paraId="7E77D808" w14:textId="77777777" w:rsidR="005A0CC1" w:rsidRPr="005A0CC1" w:rsidRDefault="005A0CC1" w:rsidP="005A0CC1">
            <w:pPr>
              <w:rPr>
                <w:rFonts w:eastAsia="Times New Roman"/>
                <w:sz w:val="20"/>
                <w:szCs w:val="20"/>
              </w:rPr>
            </w:pPr>
          </w:p>
        </w:tc>
        <w:tc>
          <w:tcPr>
            <w:tcW w:w="2391" w:type="dxa"/>
            <w:vMerge/>
            <w:tcBorders>
              <w:left w:val="single" w:sz="4" w:space="0" w:color="auto"/>
              <w:bottom w:val="single" w:sz="4" w:space="0" w:color="auto"/>
              <w:right w:val="single" w:sz="4" w:space="0" w:color="auto"/>
            </w:tcBorders>
            <w:shd w:val="clear" w:color="auto" w:fill="D9E2F3" w:themeFill="accent1" w:themeFillTint="33"/>
            <w:vAlign w:val="center"/>
          </w:tcPr>
          <w:p w14:paraId="56A79E98" w14:textId="77777777" w:rsidR="005A0CC1" w:rsidRPr="005A0CC1" w:rsidRDefault="005A0CC1" w:rsidP="005A0CC1">
            <w:pPr>
              <w:rPr>
                <w:rFonts w:eastAsia="Times New Roman"/>
                <w:b/>
                <w:bCs/>
                <w:sz w:val="20"/>
                <w:szCs w:val="20"/>
              </w:rPr>
            </w:pPr>
          </w:p>
        </w:tc>
        <w:tc>
          <w:tcPr>
            <w:tcW w:w="2571" w:type="dxa"/>
            <w:tcBorders>
              <w:top w:val="single" w:sz="4" w:space="0" w:color="auto"/>
              <w:left w:val="single" w:sz="4" w:space="0" w:color="auto"/>
              <w:bottom w:val="single" w:sz="4" w:space="0" w:color="auto"/>
              <w:right w:val="single" w:sz="4" w:space="0" w:color="auto"/>
            </w:tcBorders>
            <w:vAlign w:val="center"/>
          </w:tcPr>
          <w:p w14:paraId="777C1870"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MPGI</w:t>
            </w:r>
          </w:p>
        </w:tc>
        <w:tc>
          <w:tcPr>
            <w:tcW w:w="10016" w:type="dxa"/>
            <w:gridSpan w:val="3"/>
            <w:tcBorders>
              <w:top w:val="single" w:sz="4" w:space="0" w:color="auto"/>
              <w:left w:val="nil"/>
              <w:bottom w:val="single" w:sz="4" w:space="0" w:color="auto"/>
              <w:right w:val="single" w:sz="4" w:space="0" w:color="auto"/>
            </w:tcBorders>
            <w:noWrap/>
            <w:vAlign w:val="center"/>
          </w:tcPr>
          <w:p w14:paraId="6EC27E1D" w14:textId="77777777" w:rsidR="005A0CC1" w:rsidRPr="005A0CC1" w:rsidRDefault="005A0CC1" w:rsidP="005A0CC1">
            <w:pPr>
              <w:jc w:val="center"/>
              <w:rPr>
                <w:rFonts w:ascii="Times New Roman" w:eastAsia="Times New Roman" w:hAnsi="Times New Roman" w:cs="Times New Roman"/>
                <w:sz w:val="16"/>
                <w:szCs w:val="16"/>
              </w:rPr>
            </w:pPr>
            <w:r w:rsidRPr="005A0CC1">
              <w:rPr>
                <w:rFonts w:ascii="Times New Roman" w:eastAsia="Times New Roman" w:hAnsi="Times New Roman" w:cs="Times New Roman"/>
                <w:sz w:val="16"/>
                <w:szCs w:val="16"/>
              </w:rPr>
              <w:t>Upravljanje planinarskim objektima koji se ne nalaze na području nacionalnog parka ili parka prirode</w:t>
            </w:r>
          </w:p>
        </w:tc>
      </w:tr>
    </w:tbl>
    <w:p w14:paraId="13A885C1" w14:textId="77777777" w:rsidR="005A0CC1" w:rsidRPr="005A0CC1" w:rsidRDefault="005A0CC1" w:rsidP="005A0CC1">
      <w:pPr>
        <w:spacing w:after="220"/>
        <w:jc w:val="both"/>
        <w:rPr>
          <w:rFonts w:ascii="Times New Roman" w:eastAsia="Times New Roman" w:hAnsi="Times New Roman" w:cs="Times New Roman"/>
          <w:color w:val="auto"/>
          <w:kern w:val="2"/>
          <w:lang w:eastAsia="en-US" w:bidi="ar-SA"/>
          <w14:ligatures w14:val="standardContextual"/>
        </w:rPr>
        <w:sectPr w:rsidR="005A0CC1" w:rsidRPr="005A0CC1" w:rsidSect="005A0CC1">
          <w:pgSz w:w="16840" w:h="11900" w:orient="landscape"/>
          <w:pgMar w:top="107" w:right="1134" w:bottom="794" w:left="1134" w:header="561" w:footer="567" w:gutter="0"/>
          <w:cols w:space="720"/>
          <w:noEndnote/>
          <w:docGrid w:linePitch="360"/>
        </w:sectPr>
      </w:pPr>
    </w:p>
    <w:p w14:paraId="431FFC34"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lastRenderedPageBreak/>
        <w:tab/>
        <w:t>MPGI provodi koordinaciju upravljanja nekretninama u vlasništvu Republike Hrvatske u odnosu na druga nadležna tijela kojima su povjereni poslovi upravljanja nekretninama sukladno članku 51. Zakona, a koja uključuje:</w:t>
      </w:r>
    </w:p>
    <w:p w14:paraId="3D1B2E7B"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izradu uputa ministra za postupanje nadležnim tijelima i </w:t>
      </w:r>
    </w:p>
    <w:p w14:paraId="56D30B7C" w14:textId="77777777" w:rsidR="005A0CC1" w:rsidRPr="005A0CC1" w:rsidRDefault="005A0CC1" w:rsidP="005A0CC1">
      <w:pPr>
        <w:numPr>
          <w:ilvl w:val="0"/>
          <w:numId w:val="9"/>
        </w:numPr>
        <w:tabs>
          <w:tab w:val="left" w:pos="802"/>
        </w:tabs>
        <w:ind w:left="714" w:hanging="357"/>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davanje očitovanja o nadležnosti za postupanje, na zahtjev nadležnog tijela u slučaju dvojbe koje je nadležno tijelo dužno postupati po pojedinom zahtjevu.</w:t>
      </w:r>
    </w:p>
    <w:p w14:paraId="796C75FA"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50F6E12B" w14:textId="77777777" w:rsidR="005A0CC1" w:rsidRPr="005A0CC1" w:rsidRDefault="005A0CC1" w:rsidP="005A0CC1">
      <w:pPr>
        <w:tabs>
          <w:tab w:val="left" w:pos="802"/>
        </w:tabs>
        <w:jc w:val="both"/>
        <w:rPr>
          <w:rFonts w:ascii="Times New Roman" w:eastAsia="Times New Roman" w:hAnsi="Times New Roman" w:cs="Times New Roman"/>
          <w:color w:val="auto"/>
          <w:kern w:val="2"/>
          <w:lang w:eastAsia="en-US"/>
          <w14:ligatures w14:val="standardContextual"/>
        </w:rPr>
      </w:pPr>
      <w:r w:rsidRPr="005A0CC1">
        <w:rPr>
          <w:rFonts w:ascii="Times New Roman" w:eastAsia="Times New Roman" w:hAnsi="Times New Roman" w:cs="Times New Roman"/>
          <w:color w:val="auto"/>
          <w:kern w:val="2"/>
          <w:lang w:eastAsia="en-US"/>
          <w14:ligatures w14:val="standardContextual"/>
        </w:rPr>
        <w:t xml:space="preserve"> </w:t>
      </w:r>
      <w:r w:rsidRPr="005A0CC1">
        <w:rPr>
          <w:rFonts w:ascii="Times New Roman" w:eastAsia="Times New Roman" w:hAnsi="Times New Roman" w:cs="Times New Roman"/>
          <w:color w:val="auto"/>
          <w:kern w:val="2"/>
          <w:lang w:eastAsia="en-US"/>
          <w14:ligatures w14:val="standardContextual"/>
        </w:rPr>
        <w:tab/>
        <w:t>Sukladno članku 4. Zakona, nekretninama i pokretninama u vlasništvu Republike Hrvatske upravlja se učinkovito i razumno, pažnjom dobrog gospodara, sukladno načelima odgovornosti, javnosti, učinkovitosti i predvidljivosti. U pogledu načina raspolaganja nekretninama Zakonom je određeno da se istima može raspolagati javnim natječajem ili neposrednom pogodbom. Raspolaganje nekretninama vrši se uz naknadu za raspolaganje, a samo iznimno bez naknade u slučajevima propisanim Zakonom ili drugim posebnim propisima.</w:t>
      </w:r>
    </w:p>
    <w:p w14:paraId="2A291773" w14:textId="77777777" w:rsidR="005A0CC1" w:rsidRPr="005A0CC1" w:rsidRDefault="005A0CC1" w:rsidP="005A0CC1">
      <w:pPr>
        <w:tabs>
          <w:tab w:val="left" w:pos="802"/>
        </w:tabs>
        <w:jc w:val="both"/>
        <w:rPr>
          <w:rFonts w:ascii="Times New Roman" w:eastAsia="Times New Roman" w:hAnsi="Times New Roman" w:cs="Times New Roman"/>
          <w:color w:val="auto"/>
          <w:kern w:val="2"/>
          <w:lang w:eastAsia="en-US"/>
          <w14:ligatures w14:val="standardContextual"/>
        </w:rPr>
      </w:pPr>
    </w:p>
    <w:p w14:paraId="05754EAE" w14:textId="77777777" w:rsidR="005A0CC1" w:rsidRPr="005A0CC1" w:rsidRDefault="005A0CC1" w:rsidP="005A0CC1">
      <w:pPr>
        <w:tabs>
          <w:tab w:val="left" w:pos="802"/>
        </w:tabs>
        <w:jc w:val="both"/>
        <w:rPr>
          <w:rFonts w:ascii="Times New Roman" w:eastAsia="Times New Roman" w:hAnsi="Times New Roman" w:cs="Times New Roman"/>
          <w:color w:val="auto"/>
          <w:kern w:val="2"/>
          <w:lang w:eastAsia="en-US"/>
          <w14:ligatures w14:val="standardContextual"/>
        </w:rPr>
      </w:pPr>
      <w:r w:rsidRPr="005A0CC1">
        <w:rPr>
          <w:rFonts w:ascii="Times New Roman" w:eastAsia="Times New Roman" w:hAnsi="Times New Roman" w:cs="Times New Roman"/>
          <w:color w:val="auto"/>
          <w:kern w:val="2"/>
          <w:lang w:eastAsia="en-US"/>
          <w14:ligatures w14:val="standardContextual"/>
        </w:rPr>
        <w:t xml:space="preserve"> </w:t>
      </w:r>
      <w:r w:rsidRPr="005A0CC1">
        <w:rPr>
          <w:rFonts w:ascii="Times New Roman" w:eastAsia="Times New Roman" w:hAnsi="Times New Roman" w:cs="Times New Roman"/>
          <w:color w:val="auto"/>
          <w:kern w:val="2"/>
          <w:lang w:eastAsia="en-US"/>
          <w14:ligatures w14:val="standardContextual"/>
        </w:rPr>
        <w:tab/>
        <w:t>Zakonom su propisani i posebni načini upravljanja i raspolaganja nekretninama u vlasništvu Republike Hrvatske kako slijedi:</w:t>
      </w:r>
    </w:p>
    <w:p w14:paraId="005809A9"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raspolaganje nekretninama u državnom vlasništvu bez naknade u korist JLP(R)S i ustanova čiji je osnivač Republika Hrvatska i/ili JLP(R)S, u svrhu ostvarenja projekata koji su od općeg, javnog, socijalnog ili kulturnog interesa, projekata izgradnje poslovne infrastrukture za gospodarski razvoj, provođenje programa javnih politika i drugo </w:t>
      </w:r>
    </w:p>
    <w:p w14:paraId="4C773E75"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osnivanje osobne služnosti prava uporabe na nekretninama u vlasništvu Republike Hrvatske bez naknade ili darovanje nekretnina u korist organizacija civilnog društva kada je to u interesu Republike Hrvatske, a radi ostvarenja projekata od općeg, kulturnog, znanstvenog, sportskog, javnog ili socijalnog interesa</w:t>
      </w:r>
    </w:p>
    <w:p w14:paraId="15A3F2D6"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davanje u zakup nekretnina u vlasništvu Republike Hrvatske organizacijama civilnog društva </w:t>
      </w:r>
    </w:p>
    <w:p w14:paraId="4DA7C5EC"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upravljanje i davanje nekretnina na uporabu TDU i drugim korisnicima državnog proračuna Republike Hrvatske bez naknade za potrebe rada TDU</w:t>
      </w:r>
      <w:r w:rsidRPr="005A0CC1">
        <w:rPr>
          <w:rFonts w:ascii="Times New Roman" w:eastAsia="Calibri" w:hAnsi="Times New Roman" w:cs="Times New Roman"/>
          <w:color w:val="FF0000"/>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i drugih tijela koja su proračunski korisnici državnog proračuna Republike Hrvatske</w:t>
      </w:r>
    </w:p>
    <w:p w14:paraId="3860C1D5"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upravljanje i raspolaganje nekretninama u vlasništvu Republike Hrvatske u svrhu smještaja tijela JLP(R)S ili ustanova čiji je osnivač JLP(R)S bez naknade </w:t>
      </w:r>
    </w:p>
    <w:p w14:paraId="72F8CCB6"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stanovi za službene potrebe </w:t>
      </w:r>
    </w:p>
    <w:p w14:paraId="4DD25522"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osnivanje prava građenja i osnivanje prava služnosti bez provođenja javnog natječaja u svrhu izgradnje građevina za proizvodnju električne energije iz obnovljivih izvora energije, ako se navedene građevine grade na nekretnini u vlasništvu Republike Hrvatske </w:t>
      </w:r>
    </w:p>
    <w:p w14:paraId="1918CC4D"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upravljanje viškom iskopa koji predstavlja mineralnu sirovinu </w:t>
      </w:r>
    </w:p>
    <w:p w14:paraId="67625C5E"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zamjena nekretnina u vlasništvu Republike Hrvatske s nekretninama u vlasništvu JLP(R)S, a iznimno s nekretninama u vlasništvu trećih osoba kada je to propisano posebnim zakonom</w:t>
      </w:r>
    </w:p>
    <w:p w14:paraId="437E7D68" w14:textId="77777777" w:rsidR="005A0CC1" w:rsidRPr="005A0CC1" w:rsidRDefault="005A0CC1" w:rsidP="005A0CC1">
      <w:pPr>
        <w:numPr>
          <w:ilvl w:val="0"/>
          <w:numId w:val="9"/>
        </w:numPr>
        <w:tabs>
          <w:tab w:val="left" w:pos="802"/>
        </w:tabs>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stjecanje nekretnina i drugih stvarnih prava u korist Republike Hrvatske. </w:t>
      </w:r>
    </w:p>
    <w:p w14:paraId="669DD0E7"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4F640AC1"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4BFD69FA"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53D769D2"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0A037A81"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427F58D7"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2A800FDE"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0DED705F" w14:textId="77777777" w:rsidR="005A0CC1" w:rsidRPr="005A0CC1" w:rsidRDefault="005A0CC1" w:rsidP="005A0CC1">
      <w:pPr>
        <w:tabs>
          <w:tab w:val="left" w:pos="802"/>
        </w:tabs>
        <w:jc w:val="both"/>
        <w:rPr>
          <w:rFonts w:ascii="Times New Roman" w:eastAsia="Calibri" w:hAnsi="Times New Roman" w:cs="Times New Roman"/>
          <w:color w:val="auto"/>
          <w:kern w:val="2"/>
          <w:lang w:eastAsia="en-US" w:bidi="ar-SA"/>
          <w14:ligatures w14:val="standardContextual"/>
        </w:rPr>
      </w:pPr>
    </w:p>
    <w:p w14:paraId="68FCB33E" w14:textId="77777777" w:rsidR="005A0CC1" w:rsidRPr="005A0CC1" w:rsidRDefault="005A0CC1" w:rsidP="005A0CC1">
      <w:pPr>
        <w:tabs>
          <w:tab w:val="left" w:pos="802"/>
        </w:tabs>
        <w:jc w:val="both"/>
        <w:rPr>
          <w:rFonts w:ascii="Times New Roman" w:eastAsia="Times New Roman" w:hAnsi="Times New Roman" w:cs="Times New Roman"/>
          <w:color w:val="auto"/>
          <w:kern w:val="2"/>
          <w:lang w:eastAsia="en-US" w:bidi="ar-SA"/>
          <w14:ligatures w14:val="standardContextual"/>
        </w:rPr>
      </w:pPr>
    </w:p>
    <w:p w14:paraId="41753D58" w14:textId="77777777" w:rsidR="005A0CC1" w:rsidRPr="005A0CC1" w:rsidRDefault="005A0CC1" w:rsidP="005A0CC1">
      <w:pPr>
        <w:numPr>
          <w:ilvl w:val="0"/>
          <w:numId w:val="1"/>
        </w:numPr>
        <w:tabs>
          <w:tab w:val="left" w:pos="284"/>
        </w:tabs>
        <w:spacing w:after="240"/>
        <w:ind w:left="1418" w:hanging="851"/>
        <w:jc w:val="both"/>
        <w:rPr>
          <w:rFonts w:ascii="Times New Roman" w:eastAsia="Times New Roman" w:hAnsi="Times New Roman" w:cs="Times New Roman"/>
          <w:b/>
          <w:bCs/>
          <w:color w:val="auto"/>
          <w:kern w:val="2"/>
          <w:lang w:eastAsia="en-US" w:bidi="ar-SA"/>
          <w14:ligatures w14:val="standardContextual"/>
        </w:rPr>
      </w:pPr>
      <w:r w:rsidRPr="005A0CC1">
        <w:rPr>
          <w:rFonts w:ascii="Times New Roman" w:eastAsia="Times New Roman" w:hAnsi="Times New Roman" w:cs="Times New Roman"/>
          <w:b/>
          <w:bCs/>
          <w:color w:val="auto"/>
          <w:kern w:val="2"/>
          <w:lang w:eastAsia="en-US" w:bidi="ar-SA"/>
          <w14:ligatures w14:val="standardContextual"/>
        </w:rPr>
        <w:lastRenderedPageBreak/>
        <w:t>STRATEŠKI CILJEVI I MJERE UPRAVLJANJA NEKRETNINAMA I POKRETNINAMA U VLASNIŠTVU REPUBLIKE HRVATSKE</w:t>
      </w:r>
    </w:p>
    <w:p w14:paraId="49BF416B"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 </w:t>
      </w:r>
    </w:p>
    <w:p w14:paraId="493D87A7" w14:textId="77777777" w:rsidR="005A0CC1" w:rsidRPr="005A0CC1" w:rsidRDefault="005A0CC1" w:rsidP="005A0CC1">
      <w:pPr>
        <w:ind w:firstLine="567"/>
        <w:jc w:val="both"/>
        <w:rPr>
          <w:rFonts w:ascii="Times New Roman" w:eastAsia="Calibri" w:hAnsi="Times New Roman" w:cs="Times New Roman"/>
          <w:color w:val="auto"/>
          <w:kern w:val="2"/>
          <w:lang w:eastAsia="en-US" w:bidi="ar-SA"/>
          <w14:ligatures w14:val="standardContextual"/>
        </w:rPr>
      </w:pPr>
      <w:r w:rsidRPr="005A0CC1">
        <w:rPr>
          <w:rFonts w:ascii="Times New Roman" w:eastAsia="Calibri" w:hAnsi="Times New Roman" w:cs="Times New Roman"/>
          <w:color w:val="auto"/>
          <w:kern w:val="2"/>
          <w:lang w:eastAsia="en-US" w:bidi="ar-SA"/>
          <w14:ligatures w14:val="standardContextual"/>
        </w:rPr>
        <w:t xml:space="preserve">U Strategiji je postavljena vizija razvoja </w:t>
      </w:r>
      <w:r w:rsidRPr="005A0CC1">
        <w:rPr>
          <w:rFonts w:ascii="Times New Roman" w:eastAsia="Times New Roman" w:hAnsi="Times New Roman" w:cs="Times New Roman"/>
          <w:color w:val="auto"/>
          <w:kern w:val="2"/>
          <w:lang w:eastAsia="en-US" w:bidi="ar-SA"/>
          <w14:ligatures w14:val="standardContextual"/>
        </w:rPr>
        <w:t>upravnog područja upravljanja nekretninama i pokretninama u vlasništvu Republike Hrvatske:</w:t>
      </w:r>
      <w:r w:rsidRPr="005A0CC1">
        <w:rPr>
          <w:rFonts w:ascii="Times New Roman" w:eastAsiaTheme="majorEastAsia" w:hAnsi="Times New Roman" w:cstheme="majorBidi"/>
          <w:i/>
          <w:iCs/>
          <w:color w:val="657C9C" w:themeColor="text2" w:themeTint="BF"/>
          <w:kern w:val="2"/>
          <w:lang w:eastAsia="en-US" w:bidi="ar-SA"/>
          <w14:ligatures w14:val="standardContextual"/>
        </w:rPr>
        <w:t xml:space="preserve"> </w:t>
      </w:r>
      <w:r w:rsidRPr="005A0CC1">
        <w:rPr>
          <w:rFonts w:ascii="Times New Roman" w:eastAsia="Calibri" w:hAnsi="Times New Roman" w:cs="Times New Roman"/>
          <w:color w:val="auto"/>
          <w:kern w:val="2"/>
          <w:lang w:eastAsia="en-US" w:bidi="ar-SA"/>
          <w14:ligatures w14:val="standardContextual"/>
        </w:rPr>
        <w:t>Optimiziran i ekonomičan portfelj nekretnina i pokretnina u vlasništvu Republike Hrvatske koji potiče održivi rast i razvoj, promiče društvenu dobrobit i štiti nacionalne interese. Definirana su 4 strateška cilja u upravljanju nekretninama i pokretninama u vlasništvu Republike Hrvatske i to:</w:t>
      </w:r>
    </w:p>
    <w:p w14:paraId="5889ED14" w14:textId="77777777" w:rsidR="005A0CC1" w:rsidRPr="005A0CC1" w:rsidRDefault="005A0CC1" w:rsidP="005A0CC1">
      <w:pPr>
        <w:jc w:val="both"/>
        <w:rPr>
          <w:rFonts w:ascii="Times New Roman" w:eastAsia="Calibri" w:hAnsi="Times New Roman" w:cs="Times New Roman"/>
          <w:color w:val="auto"/>
          <w:kern w:val="2"/>
          <w:lang w:eastAsia="en-US" w:bidi="ar-SA"/>
          <w14:ligatures w14:val="standardContextual"/>
        </w:rPr>
      </w:pPr>
    </w:p>
    <w:p w14:paraId="3E59092F" w14:textId="77777777" w:rsidR="005A0CC1" w:rsidRPr="005A0CC1" w:rsidRDefault="005A0CC1" w:rsidP="005A0CC1">
      <w:pPr>
        <w:numPr>
          <w:ilvl w:val="0"/>
          <w:numId w:val="20"/>
        </w:numPr>
        <w:spacing w:after="140"/>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Strateški cilj 1. Učinkovito upravljanje nekretninama od strateškog značaja za Republiku Hrvatsku</w:t>
      </w:r>
    </w:p>
    <w:p w14:paraId="78C21FA5" w14:textId="77777777" w:rsidR="005A0CC1" w:rsidRPr="005A0CC1" w:rsidRDefault="005A0CC1" w:rsidP="005A0CC1">
      <w:pPr>
        <w:numPr>
          <w:ilvl w:val="0"/>
          <w:numId w:val="20"/>
        </w:numPr>
        <w:spacing w:after="140"/>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Strateški cilj 2. Učinkovito upravljanje nekretninama koje nisu od strateškog značaja za Republiku Hrvatsku</w:t>
      </w:r>
    </w:p>
    <w:p w14:paraId="4A44F966" w14:textId="77777777" w:rsidR="005A0CC1" w:rsidRPr="005A0CC1" w:rsidRDefault="005A0CC1" w:rsidP="005A0CC1">
      <w:pPr>
        <w:numPr>
          <w:ilvl w:val="0"/>
          <w:numId w:val="20"/>
        </w:numPr>
        <w:spacing w:after="140"/>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Strateški cilj 3. Učinkovito upravljanje nekretninama u vlasništvu Republike Hrvatske za ispunjenje administrativnih potreba korisnika državnog proračuna</w:t>
      </w:r>
    </w:p>
    <w:p w14:paraId="53208CA7" w14:textId="77777777" w:rsidR="005A0CC1" w:rsidRPr="005A0CC1" w:rsidRDefault="005A0CC1" w:rsidP="005A0CC1">
      <w:pPr>
        <w:numPr>
          <w:ilvl w:val="0"/>
          <w:numId w:val="20"/>
        </w:numPr>
        <w:spacing w:after="140"/>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 xml:space="preserve">Strateški cilj 4. </w:t>
      </w:r>
      <w:r w:rsidRPr="005A0CC1">
        <w:rPr>
          <w:rFonts w:ascii="Times New Roman" w:eastAsia="Times New Roman" w:hAnsi="Times New Roman" w:cs="Times New Roman"/>
          <w:color w:val="auto"/>
          <w:kern w:val="2"/>
          <w:lang w:eastAsia="en-US"/>
          <w14:ligatures w14:val="standardContextual"/>
        </w:rPr>
        <w:t>Učinkovito upravljanje pokretninama u vlasništvu Republike Hrvatske i privremeno oduzetom imovinom.</w:t>
      </w:r>
    </w:p>
    <w:p w14:paraId="22C0D144" w14:textId="77777777" w:rsidR="005A0CC1" w:rsidRPr="005A0CC1" w:rsidRDefault="005A0CC1" w:rsidP="005A0CC1">
      <w:pPr>
        <w:ind w:firstLine="23"/>
        <w:jc w:val="both"/>
        <w:rPr>
          <w:rFonts w:ascii="Times New Roman" w:eastAsia="Times New Roman" w:hAnsi="Times New Roman" w:cs="Times New Roman"/>
          <w:color w:val="auto"/>
          <w:kern w:val="2"/>
          <w:lang w:eastAsia="en-US" w:bidi="ar-SA"/>
          <w14:ligatures w14:val="standardContextual"/>
        </w:rPr>
      </w:pPr>
    </w:p>
    <w:p w14:paraId="5A28D513" w14:textId="77777777" w:rsidR="005A0CC1" w:rsidRPr="005A0CC1" w:rsidRDefault="005A0CC1" w:rsidP="005A0CC1">
      <w:pPr>
        <w:ind w:firstLine="23"/>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Strateški ciljevi definirani su temeljem analize razvojnih potreba i razvojnih potencijala i u cilju ostvarenja vizije razvoja područja upravljanja nekretninama i pokretninama u vlasništvu Republike Hrvatske. U nastavku se navode kratki opisi pojedinih strateških ciljeva:</w:t>
      </w:r>
    </w:p>
    <w:p w14:paraId="6B831CA8" w14:textId="77777777" w:rsidR="005A0CC1" w:rsidRPr="005A0CC1" w:rsidRDefault="005A0CC1" w:rsidP="005A0CC1">
      <w:pPr>
        <w:ind w:firstLine="23"/>
        <w:jc w:val="both"/>
        <w:rPr>
          <w:rFonts w:ascii="Calibri" w:eastAsia="Calibri" w:hAnsi="Calibri" w:cs="Calibri"/>
          <w:color w:val="auto"/>
          <w:kern w:val="2"/>
          <w:sz w:val="15"/>
          <w:szCs w:val="15"/>
          <w:lang w:eastAsia="en-US" w:bidi="ar-SA"/>
          <w14:ligatures w14:val="standardContextual"/>
        </w:rPr>
      </w:pPr>
    </w:p>
    <w:p w14:paraId="1FEF424F" w14:textId="77777777" w:rsidR="005A0CC1" w:rsidRPr="005A0CC1" w:rsidRDefault="005A0CC1" w:rsidP="005A0CC1">
      <w:pPr>
        <w:ind w:firstLine="23"/>
        <w:jc w:val="both"/>
        <w:rPr>
          <w:rFonts w:ascii="Calibri" w:eastAsia="Calibri" w:hAnsi="Calibri" w:cs="Calibri"/>
          <w:color w:val="auto"/>
          <w:kern w:val="2"/>
          <w:sz w:val="15"/>
          <w:szCs w:val="15"/>
          <w:lang w:eastAsia="en-US" w:bidi="ar-SA"/>
          <w14:ligatures w14:val="standardContextual"/>
        </w:rPr>
      </w:pPr>
    </w:p>
    <w:p w14:paraId="38CF8C1E" w14:textId="77777777" w:rsidR="005A0CC1" w:rsidRPr="005A0CC1" w:rsidRDefault="005A0CC1" w:rsidP="005A0CC1">
      <w:pPr>
        <w:ind w:firstLine="23"/>
        <w:jc w:val="both"/>
        <w:rPr>
          <w:rFonts w:ascii="Calibri" w:eastAsia="Calibri" w:hAnsi="Calibri" w:cs="Calibri"/>
          <w:color w:val="auto"/>
          <w:kern w:val="2"/>
          <w:sz w:val="15"/>
          <w:szCs w:val="15"/>
          <w:lang w:eastAsia="en-US" w:bidi="ar-SA"/>
          <w14:ligatures w14:val="standardContextual"/>
        </w:rPr>
      </w:pPr>
    </w:p>
    <w:p w14:paraId="0D3F3650" w14:textId="77777777" w:rsidR="005A0CC1" w:rsidRPr="005A0CC1" w:rsidRDefault="005A0CC1" w:rsidP="005A0CC1">
      <w:pPr>
        <w:ind w:firstLine="23"/>
        <w:jc w:val="both"/>
        <w:rPr>
          <w:rFonts w:ascii="Times New Roman" w:eastAsia="Times New Roman" w:hAnsi="Times New Roman" w:cs="Times New Roman"/>
          <w:b/>
          <w:bCs/>
        </w:rPr>
      </w:pPr>
      <w:r w:rsidRPr="005A0CC1">
        <w:rPr>
          <w:rFonts w:ascii="Times New Roman" w:eastAsia="Times New Roman" w:hAnsi="Times New Roman" w:cs="Times New Roman"/>
          <w:b/>
          <w:bCs/>
        </w:rPr>
        <w:t>Tablica 3.1. Kratki opis strateških ciljeva obuhvaćenih ovim Godišnjim planom</w:t>
      </w:r>
    </w:p>
    <w:p w14:paraId="4D13659E" w14:textId="77777777" w:rsidR="005A0CC1" w:rsidRPr="005A0CC1" w:rsidRDefault="005A0CC1" w:rsidP="005A0CC1">
      <w:pPr>
        <w:jc w:val="both"/>
        <w:rPr>
          <w:rFonts w:ascii="Calibri" w:eastAsia="Calibri" w:hAnsi="Calibri" w:cs="Calibri"/>
          <w:b/>
          <w:bCs/>
          <w:color w:val="auto"/>
          <w:kern w:val="2"/>
          <w:sz w:val="15"/>
          <w:szCs w:val="15"/>
          <w:lang w:eastAsia="en-US" w:bidi="ar-SA"/>
          <w14:ligatures w14:val="standardContextual"/>
        </w:rPr>
      </w:pPr>
    </w:p>
    <w:tbl>
      <w:tblPr>
        <w:tblW w:w="9067" w:type="dxa"/>
        <w:tblLook w:val="04A0" w:firstRow="1" w:lastRow="0" w:firstColumn="1" w:lastColumn="0" w:noHBand="0" w:noVBand="1"/>
      </w:tblPr>
      <w:tblGrid>
        <w:gridCol w:w="3539"/>
        <w:gridCol w:w="5528"/>
      </w:tblGrid>
      <w:tr w:rsidR="005A0CC1" w:rsidRPr="005A0CC1" w14:paraId="187812D3" w14:textId="77777777" w:rsidTr="001C7DE3">
        <w:trPr>
          <w:trHeight w:val="567"/>
        </w:trPr>
        <w:tc>
          <w:tcPr>
            <w:tcW w:w="3539"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C2E2DF8"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STRATEŠKI CILJEVI</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A67F8E"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CILJA</w:t>
            </w:r>
          </w:p>
        </w:tc>
      </w:tr>
      <w:tr w:rsidR="005A0CC1" w:rsidRPr="005A0CC1" w14:paraId="407B537F" w14:textId="77777777" w:rsidTr="001C7DE3">
        <w:trPr>
          <w:trHeight w:val="272"/>
        </w:trPr>
        <w:tc>
          <w:tcPr>
            <w:tcW w:w="3539"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176F0E2" w14:textId="77777777" w:rsidR="005A0CC1" w:rsidRPr="005A0CC1" w:rsidRDefault="005A0CC1" w:rsidP="005A0CC1">
            <w:pPr>
              <w:widowControl/>
              <w:rPr>
                <w:rFonts w:ascii="Times New Roman" w:eastAsia="Times New Roman" w:hAnsi="Times New Roman" w:cs="Times New Roman"/>
                <w:b/>
                <w:bCs/>
                <w:sz w:val="22"/>
                <w:szCs w:val="22"/>
                <w:lang w:bidi="ar-SA"/>
              </w:rPr>
            </w:pPr>
          </w:p>
        </w:tc>
        <w:tc>
          <w:tcPr>
            <w:tcW w:w="5528"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B03EBD6" w14:textId="77777777" w:rsidR="005A0CC1" w:rsidRPr="005A0CC1" w:rsidRDefault="005A0CC1" w:rsidP="005A0CC1">
            <w:pPr>
              <w:widowControl/>
              <w:rPr>
                <w:rFonts w:ascii="Times New Roman" w:eastAsia="Times New Roman" w:hAnsi="Times New Roman" w:cs="Times New Roman"/>
                <w:b/>
                <w:bCs/>
                <w:sz w:val="22"/>
                <w:szCs w:val="22"/>
                <w:lang w:bidi="ar-SA"/>
              </w:rPr>
            </w:pPr>
          </w:p>
        </w:tc>
      </w:tr>
      <w:tr w:rsidR="005A0CC1" w:rsidRPr="005A0CC1" w14:paraId="682260A3" w14:textId="77777777" w:rsidTr="001C7DE3">
        <w:trPr>
          <w:trHeight w:val="1428"/>
        </w:trPr>
        <w:tc>
          <w:tcPr>
            <w:tcW w:w="3539" w:type="dxa"/>
            <w:vMerge w:val="restart"/>
            <w:tcBorders>
              <w:top w:val="nil"/>
              <w:left w:val="single" w:sz="8" w:space="0" w:color="auto"/>
              <w:bottom w:val="nil"/>
              <w:right w:val="single" w:sz="8" w:space="0" w:color="auto"/>
            </w:tcBorders>
            <w:shd w:val="clear" w:color="auto" w:fill="D9E2F3" w:themeFill="accent1" w:themeFillTint="33"/>
            <w:vAlign w:val="center"/>
            <w:hideMark/>
          </w:tcPr>
          <w:p w14:paraId="563F1869"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 Učinkovito upravljanje nekretninama od strateškog značaja za Republiku Hrvatsku</w:t>
            </w:r>
          </w:p>
        </w:tc>
        <w:tc>
          <w:tcPr>
            <w:tcW w:w="5528" w:type="dxa"/>
            <w:vMerge w:val="restart"/>
            <w:tcBorders>
              <w:top w:val="nil"/>
              <w:left w:val="single" w:sz="8" w:space="0" w:color="auto"/>
              <w:bottom w:val="nil"/>
              <w:right w:val="single" w:sz="4" w:space="0" w:color="auto"/>
            </w:tcBorders>
            <w:vAlign w:val="center"/>
            <w:hideMark/>
          </w:tcPr>
          <w:p w14:paraId="4D9855DA"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Svrha provedbe ovog cilja je pružiti potporu razvojnim ciljevima Republike Hrvatske kroz ubrzanje procesa aktivacije nekretnina od strateškog značaja za Republiku Hrvatsku. Fokusom na upravljanje nekretninama od strateškog značaja ostvaruju se značajne gospodarske, financijske, razvojne ili društvene koristi</w:t>
            </w:r>
          </w:p>
        </w:tc>
      </w:tr>
      <w:tr w:rsidR="005A0CC1" w:rsidRPr="005A0CC1" w14:paraId="5684B32D" w14:textId="77777777" w:rsidTr="001C7DE3">
        <w:trPr>
          <w:trHeight w:val="832"/>
        </w:trPr>
        <w:tc>
          <w:tcPr>
            <w:tcW w:w="3539" w:type="dxa"/>
            <w:vMerge/>
            <w:tcBorders>
              <w:top w:val="nil"/>
              <w:left w:val="single" w:sz="8" w:space="0" w:color="auto"/>
              <w:bottom w:val="nil"/>
              <w:right w:val="single" w:sz="8" w:space="0" w:color="auto"/>
            </w:tcBorders>
            <w:shd w:val="clear" w:color="auto" w:fill="D9E2F3" w:themeFill="accent1" w:themeFillTint="33"/>
            <w:vAlign w:val="center"/>
            <w:hideMark/>
          </w:tcPr>
          <w:p w14:paraId="09E24242" w14:textId="77777777" w:rsidR="005A0CC1" w:rsidRPr="005A0CC1" w:rsidRDefault="005A0CC1" w:rsidP="005A0CC1">
            <w:pPr>
              <w:widowControl/>
              <w:rPr>
                <w:rFonts w:ascii="Times New Roman" w:eastAsia="Times New Roman" w:hAnsi="Times New Roman" w:cs="Times New Roman"/>
                <w:lang w:bidi="ar-SA"/>
              </w:rPr>
            </w:pPr>
          </w:p>
        </w:tc>
        <w:tc>
          <w:tcPr>
            <w:tcW w:w="5528" w:type="dxa"/>
            <w:vMerge/>
            <w:tcBorders>
              <w:top w:val="nil"/>
              <w:left w:val="single" w:sz="8" w:space="0" w:color="auto"/>
              <w:bottom w:val="nil"/>
              <w:right w:val="single" w:sz="4" w:space="0" w:color="auto"/>
            </w:tcBorders>
            <w:vAlign w:val="center"/>
            <w:hideMark/>
          </w:tcPr>
          <w:p w14:paraId="481486D0" w14:textId="77777777" w:rsidR="005A0CC1" w:rsidRPr="005A0CC1" w:rsidRDefault="005A0CC1" w:rsidP="005A0CC1">
            <w:pPr>
              <w:widowControl/>
              <w:rPr>
                <w:rFonts w:ascii="Times New Roman" w:eastAsia="Times New Roman" w:hAnsi="Times New Roman" w:cs="Times New Roman"/>
                <w:lang w:bidi="ar-SA"/>
              </w:rPr>
            </w:pPr>
          </w:p>
        </w:tc>
      </w:tr>
      <w:tr w:rsidR="005A0CC1" w:rsidRPr="005A0CC1" w14:paraId="5AED4401" w14:textId="77777777" w:rsidTr="001C7DE3">
        <w:trPr>
          <w:trHeight w:val="2690"/>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BDAA87A"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 Učinkovito  upravljanje nekretninama koje nisu od strateškog značaja za Republiku Hrvatsku</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14:paraId="4E7E3613"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Svrha provedbe ovog cilja je pružiti potporu ukupnim razvojnim ciljevima Republike Hrvatske kroz ubrzanje procesa aktivacije nekretnina koje nisu od strateškog značaja za Republiku Hrvatsku, daljnje smanjenje portfelja te stvaranje preduvjeta za provedbu razvojnih (gospodarskih, kulturnih, socijalnih, demografskih i drugih) projekata</w:t>
            </w:r>
          </w:p>
        </w:tc>
      </w:tr>
      <w:tr w:rsidR="005A0CC1" w:rsidRPr="005A0CC1" w14:paraId="47D0FCD7" w14:textId="77777777" w:rsidTr="001C7DE3">
        <w:trPr>
          <w:trHeight w:val="565"/>
        </w:trPr>
        <w:tc>
          <w:tcPr>
            <w:tcW w:w="353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B56B0AE" w14:textId="77777777" w:rsidR="005A0CC1" w:rsidRPr="005A0CC1" w:rsidRDefault="005A0CC1" w:rsidP="005A0CC1">
            <w:pPr>
              <w:widowControl/>
              <w:jc w:val="center"/>
              <w:rPr>
                <w:rFonts w:ascii="Times New Roman" w:eastAsia="Times New Roman" w:hAnsi="Times New Roman" w:cs="Times New Roman"/>
                <w:lang w:bidi="ar-SA"/>
              </w:rPr>
            </w:pPr>
            <w:r w:rsidRPr="005A0CC1">
              <w:rPr>
                <w:rFonts w:ascii="Times New Roman" w:eastAsia="Times New Roman" w:hAnsi="Times New Roman" w:cs="Times New Roman"/>
                <w:b/>
                <w:bCs/>
                <w:sz w:val="22"/>
                <w:szCs w:val="22"/>
                <w:lang w:bidi="ar-SA"/>
              </w:rPr>
              <w:lastRenderedPageBreak/>
              <w:t>STRATEŠKI CILJEVI</w:t>
            </w:r>
          </w:p>
        </w:tc>
        <w:tc>
          <w:tcPr>
            <w:tcW w:w="5528"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27C4E6A5" w14:textId="77777777" w:rsidR="005A0CC1" w:rsidRPr="005A0CC1" w:rsidRDefault="005A0CC1" w:rsidP="005A0CC1">
            <w:pPr>
              <w:widowControl/>
              <w:jc w:val="center"/>
              <w:rPr>
                <w:rFonts w:ascii="Times New Roman" w:eastAsia="Times New Roman" w:hAnsi="Times New Roman" w:cs="Times New Roman"/>
                <w:lang w:bidi="ar-SA"/>
              </w:rPr>
            </w:pPr>
            <w:r w:rsidRPr="005A0CC1">
              <w:rPr>
                <w:rFonts w:ascii="Times New Roman" w:eastAsia="Times New Roman" w:hAnsi="Times New Roman" w:cs="Times New Roman"/>
                <w:b/>
                <w:bCs/>
                <w:sz w:val="22"/>
                <w:szCs w:val="22"/>
                <w:lang w:bidi="ar-SA"/>
              </w:rPr>
              <w:t>OPIS CILJA</w:t>
            </w:r>
          </w:p>
        </w:tc>
      </w:tr>
      <w:tr w:rsidR="005A0CC1" w:rsidRPr="005A0CC1" w14:paraId="7D88B08A" w14:textId="77777777" w:rsidTr="001C7DE3">
        <w:trPr>
          <w:trHeight w:val="2472"/>
        </w:trPr>
        <w:tc>
          <w:tcPr>
            <w:tcW w:w="3539"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780A716"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3. Učinkovito upravljanje nekretninama u vlasništvu Republike Hrvatske za ispunjenje administrativnih potreba korisnika državnog proračuna</w:t>
            </w:r>
          </w:p>
        </w:tc>
        <w:tc>
          <w:tcPr>
            <w:tcW w:w="5528" w:type="dxa"/>
            <w:tcBorders>
              <w:top w:val="nil"/>
              <w:left w:val="nil"/>
              <w:bottom w:val="single" w:sz="4" w:space="0" w:color="auto"/>
              <w:right w:val="single" w:sz="4" w:space="0" w:color="auto"/>
            </w:tcBorders>
            <w:shd w:val="clear" w:color="000000" w:fill="FFFFFF"/>
            <w:vAlign w:val="center"/>
            <w:hideMark/>
          </w:tcPr>
          <w:p w14:paraId="5D96CECF"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Svrha provedbe ovog cilja je utvrđivanje najoptimalnijeg načina rješavanja nedostatka poslovnih prostora za osiguranje redovnog poslovanja </w:t>
            </w:r>
            <w:r w:rsidRPr="005A0CC1">
              <w:rPr>
                <w:rFonts w:ascii="Times New Roman" w:eastAsia="Times New Roman" w:hAnsi="Times New Roman" w:cs="Times New Roman"/>
                <w:color w:val="auto"/>
                <w:lang w:bidi="ar-SA"/>
              </w:rPr>
              <w:t>TDU-a</w:t>
            </w:r>
            <w:r w:rsidRPr="005A0CC1">
              <w:rPr>
                <w:rFonts w:ascii="Times New Roman" w:eastAsia="Times New Roman" w:hAnsi="Times New Roman" w:cs="Times New Roman"/>
                <w:color w:val="FF0000"/>
                <w:lang w:bidi="ar-SA"/>
              </w:rPr>
              <w:t xml:space="preserve"> </w:t>
            </w:r>
            <w:r w:rsidRPr="005A0CC1">
              <w:rPr>
                <w:rFonts w:ascii="Times New Roman" w:eastAsia="Times New Roman" w:hAnsi="Times New Roman" w:cs="Times New Roman"/>
                <w:lang w:bidi="ar-SA"/>
              </w:rPr>
              <w:t>i drugih korisnika državnog proračuna, pri tome omogućavajući smanjenje rashoda državnog proračuna za zakupnine, ali i stavljanje u funkciju nekretnina u vlasništvu Republike Hrvatske</w:t>
            </w:r>
          </w:p>
        </w:tc>
      </w:tr>
      <w:tr w:rsidR="005A0CC1" w:rsidRPr="005A0CC1" w14:paraId="00A98873" w14:textId="77777777" w:rsidTr="001C7DE3">
        <w:trPr>
          <w:trHeight w:val="2202"/>
        </w:trPr>
        <w:tc>
          <w:tcPr>
            <w:tcW w:w="3539"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FE99A10"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4. </w:t>
            </w:r>
            <w:r w:rsidRPr="005A0CC1">
              <w:rPr>
                <w:rFonts w:ascii="Times New Roman" w:eastAsia="Times New Roman" w:hAnsi="Times New Roman" w:cs="Times New Roman"/>
              </w:rPr>
              <w:t>Učinkovito upravljanje pokretninama u vlasništvu Republike Hrvatske i privremeno oduzetom imovinom</w:t>
            </w:r>
          </w:p>
        </w:tc>
        <w:tc>
          <w:tcPr>
            <w:tcW w:w="5528" w:type="dxa"/>
            <w:tcBorders>
              <w:top w:val="nil"/>
              <w:left w:val="nil"/>
              <w:bottom w:val="single" w:sz="4" w:space="0" w:color="auto"/>
              <w:right w:val="single" w:sz="4" w:space="0" w:color="auto"/>
            </w:tcBorders>
            <w:shd w:val="clear" w:color="000000" w:fill="FFFFFF"/>
            <w:vAlign w:val="center"/>
            <w:hideMark/>
          </w:tcPr>
          <w:p w14:paraId="3FC84270"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Svrha provedbe ovog cilja je jačanje upravljanja pokretninama u vlasništvu Republike Hrvatske kojima upravlja MPGI, a ista obuhvaća ekonomsku valorizaciju ostvarenu prodajom, najmom, zakupom pokretnina i nekretnina danih bez naknade na uporabu, darovanih ili na kojima je prenijeto pravo upravljanja, kao i raspolaganje svim drugim oblicima privremeno oduzete imovine (novčana sredstva, vrijednosni papiri, virtualne valute)</w:t>
            </w:r>
          </w:p>
        </w:tc>
      </w:tr>
    </w:tbl>
    <w:p w14:paraId="02E45B61" w14:textId="77777777" w:rsidR="005A0CC1" w:rsidRPr="005A0CC1" w:rsidRDefault="005A0CC1" w:rsidP="005A0CC1">
      <w:pPr>
        <w:ind w:firstLine="23"/>
        <w:jc w:val="both"/>
        <w:rPr>
          <w:rFonts w:ascii="Calibri" w:eastAsia="Calibri" w:hAnsi="Calibri" w:cs="Calibri"/>
          <w:b/>
          <w:bCs/>
          <w:color w:val="auto"/>
          <w:kern w:val="2"/>
          <w:sz w:val="15"/>
          <w:szCs w:val="15"/>
          <w:lang w:eastAsia="en-US" w:bidi="ar-SA"/>
          <w14:ligatures w14:val="standardContextual"/>
        </w:rPr>
      </w:pPr>
    </w:p>
    <w:p w14:paraId="0D92432D" w14:textId="77777777" w:rsidR="005A0CC1" w:rsidRPr="005A0CC1" w:rsidRDefault="005A0CC1" w:rsidP="005A0CC1">
      <w:pPr>
        <w:ind w:firstLine="23"/>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Za svaki strateški cilj definirane su mjere čija realizacija dovodi do ostvarenja strateškog cilja. U nastavku se navodi kratki pregled strateških ciljeva i pripadajućih provedbenih mjera:</w:t>
      </w:r>
    </w:p>
    <w:p w14:paraId="3F27D765" w14:textId="77777777" w:rsidR="005A0CC1" w:rsidRPr="005A0CC1" w:rsidRDefault="005A0CC1" w:rsidP="005A0CC1">
      <w:pPr>
        <w:jc w:val="both"/>
        <w:rPr>
          <w:rFonts w:ascii="Calibri" w:eastAsia="Calibri" w:hAnsi="Calibri" w:cs="Calibri"/>
          <w:b/>
          <w:bCs/>
          <w:color w:val="auto"/>
          <w:kern w:val="2"/>
          <w:sz w:val="15"/>
          <w:szCs w:val="15"/>
          <w:lang w:eastAsia="en-US" w:bidi="ar-SA"/>
          <w14:ligatures w14:val="standardContextual"/>
        </w:rPr>
      </w:pPr>
    </w:p>
    <w:p w14:paraId="767F182A" w14:textId="77777777" w:rsidR="005A0CC1" w:rsidRPr="005A0CC1" w:rsidRDefault="005A0CC1" w:rsidP="005A0CC1">
      <w:pPr>
        <w:ind w:firstLine="23"/>
        <w:jc w:val="both"/>
        <w:rPr>
          <w:rFonts w:ascii="Calibri" w:eastAsia="Calibri" w:hAnsi="Calibri" w:cs="Calibri"/>
          <w:b/>
          <w:bCs/>
          <w:color w:val="auto"/>
          <w:kern w:val="2"/>
          <w:sz w:val="15"/>
          <w:szCs w:val="15"/>
          <w:lang w:eastAsia="en-US" w:bidi="ar-SA"/>
          <w14:ligatures w14:val="standardContextual"/>
        </w:rPr>
      </w:pPr>
    </w:p>
    <w:p w14:paraId="04CEFCF2" w14:textId="77777777" w:rsidR="005A0CC1" w:rsidRPr="005A0CC1" w:rsidRDefault="005A0CC1" w:rsidP="005A0CC1">
      <w:pPr>
        <w:ind w:firstLine="23"/>
        <w:jc w:val="both"/>
        <w:rPr>
          <w:rFonts w:ascii="Times New Roman" w:eastAsia="Times New Roman" w:hAnsi="Times New Roman" w:cs="Times New Roman"/>
          <w:b/>
          <w:bCs/>
        </w:rPr>
      </w:pPr>
      <w:r w:rsidRPr="005A0CC1">
        <w:rPr>
          <w:rFonts w:ascii="Times New Roman" w:eastAsia="Times New Roman" w:hAnsi="Times New Roman" w:cs="Times New Roman"/>
          <w:b/>
          <w:bCs/>
        </w:rPr>
        <w:t>Tablica 3.2. Pregled strateških ciljeva i mjera obuhvaćenih ovim Godišnjim planom</w:t>
      </w:r>
    </w:p>
    <w:p w14:paraId="13CA82CB"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tbl>
      <w:tblPr>
        <w:tblW w:w="9062" w:type="dxa"/>
        <w:tblLook w:val="04A0" w:firstRow="1" w:lastRow="0" w:firstColumn="1" w:lastColumn="0" w:noHBand="0" w:noVBand="1"/>
      </w:tblPr>
      <w:tblGrid>
        <w:gridCol w:w="3676"/>
        <w:gridCol w:w="5386"/>
      </w:tblGrid>
      <w:tr w:rsidR="005A0CC1" w:rsidRPr="005A0CC1" w14:paraId="50D16AEE" w14:textId="77777777" w:rsidTr="001C7DE3">
        <w:trPr>
          <w:trHeight w:val="559"/>
        </w:trPr>
        <w:tc>
          <w:tcPr>
            <w:tcW w:w="3676"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hideMark/>
          </w:tcPr>
          <w:p w14:paraId="5B086609" w14:textId="77777777" w:rsidR="005A0CC1" w:rsidRPr="005A0CC1" w:rsidRDefault="005A0CC1" w:rsidP="005A0CC1">
            <w:pPr>
              <w:widowControl/>
              <w:jc w:val="center"/>
              <w:rPr>
                <w:rFonts w:ascii="Times New Roman" w:eastAsia="Times New Roman" w:hAnsi="Times New Roman" w:cs="Times New Roman"/>
                <w:b/>
                <w:bCs/>
                <w:color w:val="auto"/>
                <w:sz w:val="22"/>
                <w:szCs w:val="22"/>
                <w:lang w:bidi="ar-SA"/>
              </w:rPr>
            </w:pPr>
            <w:r w:rsidRPr="005A0CC1">
              <w:rPr>
                <w:rFonts w:ascii="Times New Roman" w:eastAsia="Times New Roman" w:hAnsi="Times New Roman" w:cs="Times New Roman"/>
                <w:b/>
                <w:bCs/>
                <w:color w:val="auto"/>
                <w:sz w:val="22"/>
                <w:szCs w:val="22"/>
                <w:lang w:bidi="ar-SA"/>
              </w:rPr>
              <w:t>STRATEŠKI CILJEVI</w:t>
            </w:r>
          </w:p>
        </w:tc>
        <w:tc>
          <w:tcPr>
            <w:tcW w:w="5386" w:type="dxa"/>
            <w:tcBorders>
              <w:top w:val="single" w:sz="8" w:space="0" w:color="auto"/>
              <w:left w:val="nil"/>
              <w:bottom w:val="single" w:sz="8" w:space="0" w:color="auto"/>
              <w:right w:val="single" w:sz="8" w:space="0" w:color="auto"/>
            </w:tcBorders>
            <w:shd w:val="clear" w:color="auto" w:fill="B4C6E7" w:themeFill="accent1" w:themeFillTint="66"/>
            <w:vAlign w:val="center"/>
            <w:hideMark/>
          </w:tcPr>
          <w:p w14:paraId="6C3F3B43" w14:textId="77777777" w:rsidR="005A0CC1" w:rsidRPr="005A0CC1" w:rsidRDefault="005A0CC1" w:rsidP="005A0CC1">
            <w:pPr>
              <w:widowControl/>
              <w:jc w:val="center"/>
              <w:rPr>
                <w:rFonts w:ascii="Times New Roman" w:eastAsia="Times New Roman" w:hAnsi="Times New Roman" w:cs="Times New Roman"/>
                <w:b/>
                <w:bCs/>
                <w:color w:val="auto"/>
                <w:sz w:val="22"/>
                <w:szCs w:val="22"/>
                <w:lang w:bidi="ar-SA"/>
              </w:rPr>
            </w:pPr>
            <w:r w:rsidRPr="005A0CC1">
              <w:rPr>
                <w:rFonts w:ascii="Times New Roman" w:eastAsia="Times New Roman" w:hAnsi="Times New Roman" w:cs="Times New Roman"/>
                <w:b/>
                <w:bCs/>
                <w:color w:val="auto"/>
                <w:sz w:val="22"/>
                <w:szCs w:val="22"/>
                <w:lang w:bidi="ar-SA"/>
              </w:rPr>
              <w:t>MJERE</w:t>
            </w:r>
          </w:p>
        </w:tc>
      </w:tr>
      <w:tr w:rsidR="005A0CC1" w:rsidRPr="005A0CC1" w14:paraId="3FA91BC7" w14:textId="77777777" w:rsidTr="001C7DE3">
        <w:trPr>
          <w:trHeight w:val="982"/>
        </w:trPr>
        <w:tc>
          <w:tcPr>
            <w:tcW w:w="3676"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D001464"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 Učinkovito upravljanje nekretninama od strateškog značaja za Republiku Hrvatsku</w:t>
            </w:r>
          </w:p>
        </w:tc>
        <w:tc>
          <w:tcPr>
            <w:tcW w:w="5386" w:type="dxa"/>
            <w:tcBorders>
              <w:top w:val="nil"/>
              <w:left w:val="nil"/>
              <w:bottom w:val="single" w:sz="4" w:space="0" w:color="auto"/>
              <w:right w:val="single" w:sz="4" w:space="0" w:color="auto"/>
            </w:tcBorders>
            <w:vAlign w:val="center"/>
            <w:hideMark/>
          </w:tcPr>
          <w:p w14:paraId="571AF155"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1.1. Uvođenje projektnog pristupa upravljanja nekretninama od strateškog značaja za Republiku Hrvatsku</w:t>
            </w:r>
          </w:p>
        </w:tc>
      </w:tr>
      <w:tr w:rsidR="005A0CC1" w:rsidRPr="005A0CC1" w14:paraId="6B7178B3" w14:textId="77777777" w:rsidTr="001C7DE3">
        <w:trPr>
          <w:trHeight w:val="411"/>
        </w:trPr>
        <w:tc>
          <w:tcPr>
            <w:tcW w:w="3676"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59B6939"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nil"/>
              <w:bottom w:val="single" w:sz="4" w:space="0" w:color="auto"/>
              <w:right w:val="single" w:sz="4" w:space="0" w:color="auto"/>
            </w:tcBorders>
            <w:vAlign w:val="center"/>
            <w:hideMark/>
          </w:tcPr>
          <w:p w14:paraId="462097EF"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1.2. Priprema i razvoj projektnih prijedloga</w:t>
            </w:r>
          </w:p>
        </w:tc>
      </w:tr>
      <w:tr w:rsidR="005A0CC1" w:rsidRPr="005A0CC1" w14:paraId="086054CB" w14:textId="77777777" w:rsidTr="001C7DE3">
        <w:trPr>
          <w:trHeight w:val="902"/>
        </w:trPr>
        <w:tc>
          <w:tcPr>
            <w:tcW w:w="3676"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B3052CD"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nil"/>
              <w:bottom w:val="single" w:sz="4" w:space="0" w:color="auto"/>
              <w:right w:val="single" w:sz="4" w:space="0" w:color="auto"/>
            </w:tcBorders>
            <w:vAlign w:val="center"/>
            <w:hideMark/>
          </w:tcPr>
          <w:p w14:paraId="07E57258"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1.3. Provedba projekata na nekretninama od strateškog značaja za Republiku Hrvatsku</w:t>
            </w:r>
          </w:p>
        </w:tc>
      </w:tr>
      <w:tr w:rsidR="005A0CC1" w:rsidRPr="005A0CC1" w14:paraId="2CBC82C6" w14:textId="77777777" w:rsidTr="001C7DE3">
        <w:trPr>
          <w:trHeight w:val="1337"/>
        </w:trPr>
        <w:tc>
          <w:tcPr>
            <w:tcW w:w="3676"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2A19369"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 Učinkovito  upravljanje nekretninama koje nisu od strateškog značaja za Republiku Hrvatsku</w:t>
            </w:r>
          </w:p>
        </w:tc>
        <w:tc>
          <w:tcPr>
            <w:tcW w:w="5386" w:type="dxa"/>
            <w:tcBorders>
              <w:top w:val="nil"/>
              <w:left w:val="nil"/>
              <w:bottom w:val="single" w:sz="4" w:space="0" w:color="auto"/>
              <w:right w:val="single" w:sz="4" w:space="0" w:color="auto"/>
            </w:tcBorders>
            <w:vAlign w:val="center"/>
            <w:hideMark/>
          </w:tcPr>
          <w:p w14:paraId="3BA10EAB"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2.1. Koordinacija upravljanja nekretninama u vlasništvu Republike Hrvatske u odnosu na nadležna tijela za provedbu decentraliziranog modela upravljanja nekretninama</w:t>
            </w:r>
          </w:p>
        </w:tc>
      </w:tr>
      <w:tr w:rsidR="005A0CC1" w:rsidRPr="005A0CC1" w14:paraId="719F17B7" w14:textId="77777777" w:rsidTr="001C7DE3">
        <w:trPr>
          <w:trHeight w:val="624"/>
        </w:trPr>
        <w:tc>
          <w:tcPr>
            <w:tcW w:w="3676"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6F1B8CD"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nil"/>
              <w:bottom w:val="single" w:sz="4" w:space="0" w:color="auto"/>
              <w:right w:val="single" w:sz="4" w:space="0" w:color="auto"/>
            </w:tcBorders>
            <w:vAlign w:val="center"/>
            <w:hideMark/>
          </w:tcPr>
          <w:p w14:paraId="124B6645"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2.2. Aktivacija neiskorištenih nekretnina</w:t>
            </w:r>
          </w:p>
        </w:tc>
      </w:tr>
      <w:tr w:rsidR="005A0CC1" w:rsidRPr="005A0CC1" w14:paraId="73C1BC07" w14:textId="77777777" w:rsidTr="001C7DE3">
        <w:trPr>
          <w:trHeight w:val="1524"/>
        </w:trPr>
        <w:tc>
          <w:tcPr>
            <w:tcW w:w="3676"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F5DBF96"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single" w:sz="4" w:space="0" w:color="auto"/>
              <w:left w:val="nil"/>
              <w:bottom w:val="single" w:sz="4" w:space="0" w:color="auto"/>
              <w:right w:val="single" w:sz="4" w:space="0" w:color="auto"/>
            </w:tcBorders>
            <w:vAlign w:val="center"/>
            <w:hideMark/>
          </w:tcPr>
          <w:p w14:paraId="4A8BE44A"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2.3. Jačanje doprinosa upravljanja nekretninama ostvarenju strateških ciljeva i javnih politika i programa koje donose daljnji rast, razvoj i stabilnost gospodarstva</w:t>
            </w:r>
          </w:p>
        </w:tc>
      </w:tr>
      <w:tr w:rsidR="005A0CC1" w:rsidRPr="005A0CC1" w14:paraId="4C93036F" w14:textId="77777777" w:rsidTr="001C7DE3">
        <w:trPr>
          <w:trHeight w:val="567"/>
        </w:trPr>
        <w:tc>
          <w:tcPr>
            <w:tcW w:w="367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574DE1" w14:textId="77777777" w:rsidR="005A0CC1" w:rsidRPr="005A0CC1" w:rsidRDefault="005A0CC1" w:rsidP="005A0CC1">
            <w:pPr>
              <w:widowControl/>
              <w:jc w:val="center"/>
              <w:rPr>
                <w:rFonts w:ascii="Times New Roman" w:eastAsia="Times New Roman" w:hAnsi="Times New Roman" w:cs="Times New Roman"/>
                <w:lang w:bidi="ar-SA"/>
              </w:rPr>
            </w:pPr>
            <w:r w:rsidRPr="005A0CC1">
              <w:rPr>
                <w:rFonts w:ascii="Times New Roman" w:eastAsia="Times New Roman" w:hAnsi="Times New Roman" w:cs="Times New Roman"/>
                <w:b/>
                <w:bCs/>
                <w:color w:val="auto"/>
                <w:sz w:val="22"/>
                <w:szCs w:val="22"/>
                <w:lang w:bidi="ar-SA"/>
              </w:rPr>
              <w:lastRenderedPageBreak/>
              <w:t>STRATEŠKI CILJEVI</w:t>
            </w:r>
          </w:p>
        </w:tc>
        <w:tc>
          <w:tcPr>
            <w:tcW w:w="5386"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32539BF6" w14:textId="77777777" w:rsidR="005A0CC1" w:rsidRPr="005A0CC1" w:rsidRDefault="005A0CC1" w:rsidP="005A0CC1">
            <w:pPr>
              <w:widowControl/>
              <w:jc w:val="center"/>
              <w:rPr>
                <w:rFonts w:ascii="Times New Roman" w:eastAsia="Times New Roman" w:hAnsi="Times New Roman" w:cs="Times New Roman"/>
                <w:lang w:bidi="ar-SA"/>
              </w:rPr>
            </w:pPr>
            <w:r w:rsidRPr="005A0CC1">
              <w:rPr>
                <w:rFonts w:ascii="Times New Roman" w:eastAsia="Times New Roman" w:hAnsi="Times New Roman" w:cs="Times New Roman"/>
                <w:b/>
                <w:bCs/>
                <w:color w:val="auto"/>
                <w:sz w:val="22"/>
                <w:szCs w:val="22"/>
                <w:lang w:bidi="ar-SA"/>
              </w:rPr>
              <w:t>MJERE</w:t>
            </w:r>
          </w:p>
        </w:tc>
      </w:tr>
      <w:tr w:rsidR="005A0CC1" w:rsidRPr="005A0CC1" w14:paraId="518D2B22" w14:textId="77777777" w:rsidTr="001C7DE3">
        <w:trPr>
          <w:trHeight w:val="687"/>
        </w:trPr>
        <w:tc>
          <w:tcPr>
            <w:tcW w:w="3676"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EF795B6"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3. Učinkovito upravljanje nekretninama u vlasništvu Republike Hrvatske za ispunjenje administrativnih potreba korisnika državnog proračuna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B373F88"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3.1. Utvrđivanje potreba za smještajem </w:t>
            </w:r>
            <w:r w:rsidRPr="005A0CC1">
              <w:rPr>
                <w:rFonts w:ascii="Times New Roman" w:eastAsia="Times New Roman" w:hAnsi="Times New Roman" w:cs="Times New Roman"/>
                <w:color w:val="auto"/>
                <w:lang w:bidi="ar-SA"/>
              </w:rPr>
              <w:t>TDU</w:t>
            </w:r>
            <w:r w:rsidRPr="005A0CC1">
              <w:rPr>
                <w:rFonts w:ascii="Times New Roman" w:eastAsia="Times New Roman" w:hAnsi="Times New Roman" w:cs="Times New Roman"/>
                <w:color w:val="FF0000"/>
                <w:lang w:bidi="ar-SA"/>
              </w:rPr>
              <w:t xml:space="preserve"> </w:t>
            </w:r>
            <w:r w:rsidRPr="005A0CC1">
              <w:rPr>
                <w:rFonts w:ascii="Times New Roman" w:eastAsia="Times New Roman" w:hAnsi="Times New Roman" w:cs="Times New Roman"/>
                <w:lang w:bidi="ar-SA"/>
              </w:rPr>
              <w:t>i drugih korisnika državnog proračuna</w:t>
            </w:r>
          </w:p>
        </w:tc>
      </w:tr>
      <w:tr w:rsidR="005A0CC1" w:rsidRPr="005A0CC1" w14:paraId="46C2EDB5" w14:textId="77777777" w:rsidTr="001C7DE3">
        <w:trPr>
          <w:trHeight w:val="1266"/>
        </w:trPr>
        <w:tc>
          <w:tcPr>
            <w:tcW w:w="367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FBC9251"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single" w:sz="4" w:space="0" w:color="auto"/>
              <w:bottom w:val="single" w:sz="4" w:space="0" w:color="auto"/>
              <w:right w:val="single" w:sz="4" w:space="0" w:color="auto"/>
            </w:tcBorders>
            <w:vAlign w:val="center"/>
            <w:hideMark/>
          </w:tcPr>
          <w:p w14:paraId="7045F488"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3.2. Ulaganje u nekretnine u vlasništvu Republike Hrvatske u funkciji ostvarenja administrativnih potreba </w:t>
            </w:r>
            <w:r w:rsidRPr="005A0CC1">
              <w:rPr>
                <w:rFonts w:ascii="Times New Roman" w:eastAsia="Times New Roman" w:hAnsi="Times New Roman" w:cs="Times New Roman"/>
                <w:color w:val="auto"/>
                <w:lang w:bidi="ar-SA"/>
              </w:rPr>
              <w:t xml:space="preserve">TDU </w:t>
            </w:r>
            <w:r w:rsidRPr="005A0CC1">
              <w:rPr>
                <w:rFonts w:ascii="Times New Roman" w:eastAsia="Times New Roman" w:hAnsi="Times New Roman" w:cs="Times New Roman"/>
                <w:lang w:bidi="ar-SA"/>
              </w:rPr>
              <w:t>i drugih korisnika državnog proračuna</w:t>
            </w:r>
          </w:p>
        </w:tc>
      </w:tr>
      <w:tr w:rsidR="005A0CC1" w:rsidRPr="005A0CC1" w14:paraId="67DA46F6" w14:textId="77777777" w:rsidTr="001C7DE3">
        <w:trPr>
          <w:trHeight w:val="984"/>
        </w:trPr>
        <w:tc>
          <w:tcPr>
            <w:tcW w:w="367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F260C99"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single" w:sz="4" w:space="0" w:color="auto"/>
              <w:bottom w:val="single" w:sz="4" w:space="0" w:color="auto"/>
              <w:right w:val="single" w:sz="4" w:space="0" w:color="auto"/>
            </w:tcBorders>
            <w:vAlign w:val="center"/>
            <w:hideMark/>
          </w:tcPr>
          <w:p w14:paraId="31BE2D3D"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3.3. Stjecanje nekretnina za potrebe smještaja TDU i drugih korisnika državnog proračuna</w:t>
            </w:r>
          </w:p>
        </w:tc>
      </w:tr>
      <w:tr w:rsidR="005A0CC1" w:rsidRPr="005A0CC1" w14:paraId="649DE335" w14:textId="77777777" w:rsidTr="001C7DE3">
        <w:trPr>
          <w:trHeight w:val="988"/>
        </w:trPr>
        <w:tc>
          <w:tcPr>
            <w:tcW w:w="367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BE14859"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single" w:sz="4" w:space="0" w:color="auto"/>
              <w:bottom w:val="single" w:sz="4" w:space="0" w:color="auto"/>
              <w:right w:val="single" w:sz="4" w:space="0" w:color="auto"/>
            </w:tcBorders>
            <w:vAlign w:val="center"/>
            <w:hideMark/>
          </w:tcPr>
          <w:p w14:paraId="4CA15745"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 xml:space="preserve">3.4. Obnova, rekonstrukcija i izgradnja nekretnina za smještaj TDU i drugih korisnika državnog proračuna </w:t>
            </w:r>
          </w:p>
        </w:tc>
      </w:tr>
      <w:tr w:rsidR="005A0CC1" w:rsidRPr="005A0CC1" w14:paraId="067CE632" w14:textId="77777777" w:rsidTr="001C7DE3">
        <w:trPr>
          <w:trHeight w:val="714"/>
        </w:trPr>
        <w:tc>
          <w:tcPr>
            <w:tcW w:w="3676" w:type="dxa"/>
            <w:vMerge w:val="restart"/>
            <w:tcBorders>
              <w:top w:val="single" w:sz="4" w:space="0" w:color="auto"/>
              <w:left w:val="single" w:sz="4" w:space="0" w:color="auto"/>
              <w:right w:val="single" w:sz="4" w:space="0" w:color="auto"/>
            </w:tcBorders>
            <w:shd w:val="clear" w:color="auto" w:fill="D9E2F3" w:themeFill="accent1" w:themeFillTint="33"/>
            <w:vAlign w:val="center"/>
            <w:hideMark/>
          </w:tcPr>
          <w:p w14:paraId="18224CBC"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4. </w:t>
            </w:r>
            <w:r w:rsidRPr="005A0CC1">
              <w:rPr>
                <w:rFonts w:ascii="Times New Roman" w:eastAsia="Times New Roman" w:hAnsi="Times New Roman" w:cs="Times New Roman"/>
              </w:rPr>
              <w:t>Učinkovito upravljanje pokretninama u vlasništvu Republike Hrvatske i privremeno oduzetom imovinom</w:t>
            </w:r>
          </w:p>
        </w:tc>
        <w:tc>
          <w:tcPr>
            <w:tcW w:w="5386" w:type="dxa"/>
            <w:tcBorders>
              <w:top w:val="nil"/>
              <w:left w:val="nil"/>
              <w:bottom w:val="single" w:sz="4" w:space="0" w:color="auto"/>
              <w:right w:val="single" w:sz="4" w:space="0" w:color="auto"/>
            </w:tcBorders>
            <w:vAlign w:val="center"/>
            <w:hideMark/>
          </w:tcPr>
          <w:p w14:paraId="76E69206"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4.1. Aktivacija pokretnina u vlasništvu Republike Hrvatske</w:t>
            </w:r>
          </w:p>
        </w:tc>
      </w:tr>
      <w:tr w:rsidR="005A0CC1" w:rsidRPr="005A0CC1" w14:paraId="78EC4BD4" w14:textId="77777777" w:rsidTr="001C7DE3">
        <w:trPr>
          <w:trHeight w:val="672"/>
        </w:trPr>
        <w:tc>
          <w:tcPr>
            <w:tcW w:w="3676" w:type="dxa"/>
            <w:vMerge/>
            <w:tcBorders>
              <w:left w:val="single" w:sz="4" w:space="0" w:color="auto"/>
              <w:right w:val="single" w:sz="4" w:space="0" w:color="auto"/>
            </w:tcBorders>
            <w:shd w:val="clear" w:color="auto" w:fill="D9E2F3" w:themeFill="accent1" w:themeFillTint="33"/>
            <w:vAlign w:val="center"/>
            <w:hideMark/>
          </w:tcPr>
          <w:p w14:paraId="0097C2F1"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single" w:sz="4" w:space="0" w:color="auto"/>
              <w:left w:val="nil"/>
              <w:bottom w:val="single" w:sz="4" w:space="0" w:color="auto"/>
              <w:right w:val="single" w:sz="4" w:space="0" w:color="auto"/>
            </w:tcBorders>
            <w:vAlign w:val="center"/>
            <w:hideMark/>
          </w:tcPr>
          <w:p w14:paraId="591E428F"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4.2. Unaprjeđenje upravljanja privremeno oduzetom imovinom</w:t>
            </w:r>
          </w:p>
        </w:tc>
      </w:tr>
      <w:tr w:rsidR="005A0CC1" w:rsidRPr="005A0CC1" w14:paraId="19B878DC" w14:textId="77777777" w:rsidTr="001C7DE3">
        <w:trPr>
          <w:trHeight w:val="672"/>
        </w:trPr>
        <w:tc>
          <w:tcPr>
            <w:tcW w:w="3676" w:type="dxa"/>
            <w:vMerge/>
            <w:tcBorders>
              <w:left w:val="single" w:sz="4" w:space="0" w:color="auto"/>
              <w:bottom w:val="single" w:sz="4" w:space="0" w:color="auto"/>
              <w:right w:val="single" w:sz="4" w:space="0" w:color="auto"/>
            </w:tcBorders>
            <w:shd w:val="clear" w:color="auto" w:fill="D9E2F3" w:themeFill="accent1" w:themeFillTint="33"/>
            <w:vAlign w:val="center"/>
          </w:tcPr>
          <w:p w14:paraId="1C25EE31"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single" w:sz="4" w:space="0" w:color="auto"/>
              <w:left w:val="nil"/>
              <w:bottom w:val="single" w:sz="4" w:space="0" w:color="auto"/>
              <w:right w:val="single" w:sz="4" w:space="0" w:color="auto"/>
            </w:tcBorders>
            <w:vAlign w:val="center"/>
          </w:tcPr>
          <w:p w14:paraId="762F901C"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4.3. Donošenje i provedba akcijskog plana u području oduzimanja i povrata imovine</w:t>
            </w:r>
          </w:p>
        </w:tc>
      </w:tr>
    </w:tbl>
    <w:p w14:paraId="55015EF8"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30A54223" w14:textId="77777777" w:rsidR="005A0CC1" w:rsidRPr="005A0CC1" w:rsidRDefault="005A0CC1" w:rsidP="005A0CC1">
      <w:pPr>
        <w:jc w:val="both"/>
        <w:rPr>
          <w:rFonts w:ascii="Times New Roman" w:eastAsia="Times New Roman" w:hAnsi="Times New Roman" w:cs="Times New Roman"/>
          <w:i/>
          <w:iCs/>
          <w:color w:val="auto"/>
          <w:kern w:val="2"/>
          <w:lang w:eastAsia="en-US" w:bidi="ar-SA"/>
          <w14:ligatures w14:val="standardContextual"/>
        </w:rPr>
      </w:pPr>
    </w:p>
    <w:p w14:paraId="4EE6FDB9"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Provedbene mjere ukratko su opisane kako slijedi:</w:t>
      </w:r>
    </w:p>
    <w:p w14:paraId="0EA08737"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3F6FF6C3" w14:textId="77777777" w:rsidR="005A0CC1" w:rsidRPr="005A0CC1" w:rsidRDefault="005A0CC1" w:rsidP="005A0CC1">
      <w:pPr>
        <w:ind w:firstLine="23"/>
        <w:jc w:val="both"/>
        <w:rPr>
          <w:rFonts w:ascii="Times New Roman" w:eastAsia="Times New Roman" w:hAnsi="Times New Roman" w:cs="Times New Roman"/>
          <w:b/>
          <w:bCs/>
        </w:rPr>
      </w:pPr>
      <w:r w:rsidRPr="005A0CC1">
        <w:rPr>
          <w:rFonts w:ascii="Times New Roman" w:eastAsia="Times New Roman" w:hAnsi="Times New Roman" w:cs="Times New Roman"/>
          <w:b/>
          <w:bCs/>
        </w:rPr>
        <w:t>Tablica 3.3. Kratki opis mjera obuhvaćenih ovim Godišnjim planom</w:t>
      </w:r>
    </w:p>
    <w:tbl>
      <w:tblPr>
        <w:tblW w:w="9289" w:type="dxa"/>
        <w:tblLook w:val="04A0" w:firstRow="1" w:lastRow="0" w:firstColumn="1" w:lastColumn="0" w:noHBand="0" w:noVBand="1"/>
      </w:tblPr>
      <w:tblGrid>
        <w:gridCol w:w="3681"/>
        <w:gridCol w:w="5386"/>
        <w:gridCol w:w="222"/>
      </w:tblGrid>
      <w:tr w:rsidR="005A0CC1" w:rsidRPr="005A0CC1" w14:paraId="265FC27A" w14:textId="77777777" w:rsidTr="001C7DE3">
        <w:trPr>
          <w:gridAfter w:val="1"/>
          <w:wAfter w:w="222" w:type="dxa"/>
          <w:trHeight w:val="1155"/>
        </w:trPr>
        <w:tc>
          <w:tcPr>
            <w:tcW w:w="906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55A7001"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STRATEŠKI CILJ 1.</w:t>
            </w:r>
          </w:p>
          <w:p w14:paraId="3987B60C"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Učinkovito upravljanje nekretninama od strateškog značaja za Republiku Hrvatsku</w:t>
            </w:r>
          </w:p>
        </w:tc>
      </w:tr>
      <w:tr w:rsidR="005A0CC1" w:rsidRPr="005A0CC1" w14:paraId="3581B3EF" w14:textId="77777777" w:rsidTr="001C7DE3">
        <w:trPr>
          <w:gridAfter w:val="1"/>
          <w:wAfter w:w="222" w:type="dxa"/>
          <w:trHeight w:val="288"/>
        </w:trPr>
        <w:tc>
          <w:tcPr>
            <w:tcW w:w="3681"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2B48D2D"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MJERE</w:t>
            </w:r>
          </w:p>
        </w:tc>
        <w:tc>
          <w:tcPr>
            <w:tcW w:w="538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398BC6F"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136E795C" w14:textId="77777777" w:rsidTr="001C7DE3">
        <w:trPr>
          <w:trHeight w:val="28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4BE0A7D9" w14:textId="77777777" w:rsidR="005A0CC1" w:rsidRPr="005A0CC1" w:rsidRDefault="005A0CC1" w:rsidP="005A0CC1">
            <w:pPr>
              <w:widowControl/>
              <w:rPr>
                <w:rFonts w:ascii="Times New Roman" w:eastAsia="Times New Roman" w:hAnsi="Times New Roman" w:cs="Times New Roman"/>
                <w:b/>
                <w:bCs/>
                <w:sz w:val="22"/>
                <w:szCs w:val="22"/>
                <w:lang w:bidi="ar-SA"/>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04940960" w14:textId="77777777" w:rsidR="005A0CC1" w:rsidRPr="005A0CC1" w:rsidRDefault="005A0CC1" w:rsidP="005A0CC1">
            <w:pPr>
              <w:widowControl/>
              <w:rPr>
                <w:rFonts w:ascii="Times New Roman" w:eastAsia="Times New Roman" w:hAnsi="Times New Roman" w:cs="Times New Roman"/>
                <w:b/>
                <w:bCs/>
                <w:sz w:val="22"/>
                <w:szCs w:val="22"/>
                <w:lang w:bidi="ar-SA"/>
              </w:rPr>
            </w:pPr>
          </w:p>
        </w:tc>
        <w:tc>
          <w:tcPr>
            <w:tcW w:w="222" w:type="dxa"/>
            <w:tcBorders>
              <w:top w:val="nil"/>
              <w:left w:val="nil"/>
              <w:bottom w:val="nil"/>
              <w:right w:val="nil"/>
            </w:tcBorders>
            <w:noWrap/>
            <w:vAlign w:val="bottom"/>
            <w:hideMark/>
          </w:tcPr>
          <w:p w14:paraId="3E385DAD"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p>
        </w:tc>
      </w:tr>
      <w:tr w:rsidR="005A0CC1" w:rsidRPr="005A0CC1" w14:paraId="102CB994" w14:textId="77777777" w:rsidTr="001C7DE3">
        <w:trPr>
          <w:trHeight w:val="936"/>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0328B27"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1.1. Uvođenje projektnog pristupa upravljanja nekretninama od strateškog značaja za Republiku Hrvatsku</w:t>
            </w:r>
          </w:p>
        </w:tc>
        <w:tc>
          <w:tcPr>
            <w:tcW w:w="5386" w:type="dxa"/>
            <w:tcBorders>
              <w:top w:val="nil"/>
              <w:left w:val="single" w:sz="4" w:space="0" w:color="auto"/>
              <w:bottom w:val="single" w:sz="4" w:space="0" w:color="auto"/>
              <w:right w:val="single" w:sz="4" w:space="0" w:color="auto"/>
            </w:tcBorders>
            <w:vAlign w:val="center"/>
            <w:hideMark/>
          </w:tcPr>
          <w:p w14:paraId="7E110AA4"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Oformljivanjem projektnih timova definirati će se standardizirani procesi u upravljanju investicijskim projektima na nekretninama od strateškog značaja za Republiku Hrvatsku, kao i aktivnosti u pripremi, razvoju, promociji i provedbi projekata na nekretninama od strateškog značaja za Republiku Hrvatsku, a sve u svrhu povećanja investicijskog potencijala nekretnina Republike Hrvatske</w:t>
            </w:r>
          </w:p>
        </w:tc>
        <w:tc>
          <w:tcPr>
            <w:tcW w:w="222" w:type="dxa"/>
            <w:vAlign w:val="center"/>
            <w:hideMark/>
          </w:tcPr>
          <w:p w14:paraId="6ED22D9C"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2CF9060E" w14:textId="77777777" w:rsidTr="001C7DE3">
        <w:trPr>
          <w:gridAfter w:val="1"/>
          <w:wAfter w:w="222" w:type="dxa"/>
          <w:trHeight w:val="312"/>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ED818A4"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1.2. Priprema i razvoj projektnih prijedloga</w:t>
            </w:r>
          </w:p>
        </w:tc>
        <w:tc>
          <w:tcPr>
            <w:tcW w:w="5386" w:type="dxa"/>
            <w:tcBorders>
              <w:top w:val="nil"/>
              <w:left w:val="single" w:sz="4" w:space="0" w:color="auto"/>
              <w:bottom w:val="single" w:sz="4" w:space="0" w:color="auto"/>
              <w:right w:val="single" w:sz="4" w:space="0" w:color="auto"/>
            </w:tcBorders>
            <w:vAlign w:val="center"/>
            <w:hideMark/>
          </w:tcPr>
          <w:p w14:paraId="6336160E"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Provedbom mjere utječe se na jačanje preduvjeta za uspješnu aktivaciju nekretnina od strateškog značaja za Republiku Hrvatsku. Navedeni pristup ima za cilj promociju investicijskih lokacija, privlačenje investitora, povećanje vidljivosti investicijskih projekata i povećanje uspjeha investicijskih inicijativa</w:t>
            </w:r>
          </w:p>
        </w:tc>
      </w:tr>
      <w:tr w:rsidR="005A0CC1" w:rsidRPr="005A0CC1" w14:paraId="04AA716A" w14:textId="77777777" w:rsidTr="001C7DE3">
        <w:trPr>
          <w:gridAfter w:val="1"/>
          <w:wAfter w:w="222" w:type="dxa"/>
          <w:trHeight w:val="567"/>
        </w:trPr>
        <w:tc>
          <w:tcPr>
            <w:tcW w:w="368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86A214C"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lastRenderedPageBreak/>
              <w:t>MJERE</w:t>
            </w:r>
          </w:p>
        </w:tc>
        <w:tc>
          <w:tcPr>
            <w:tcW w:w="53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A8C551F"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7779903C" w14:textId="77777777" w:rsidTr="001C7DE3">
        <w:trPr>
          <w:trHeight w:val="1821"/>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9CD993F"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1.3</w:t>
            </w:r>
            <w:r w:rsidRPr="005A0CC1">
              <w:rPr>
                <w:rFonts w:ascii="Times New Roman" w:eastAsia="Times New Roman" w:hAnsi="Times New Roman" w:cs="Times New Roman"/>
                <w:shd w:val="clear" w:color="auto" w:fill="D9E2F3" w:themeFill="accent1" w:themeFillTint="33"/>
                <w:lang w:bidi="ar-SA"/>
              </w:rPr>
              <w:t>. Provedba projekata na nekretninama od strateškog značaja za Republiku Hrvatsku</w:t>
            </w:r>
          </w:p>
        </w:tc>
        <w:tc>
          <w:tcPr>
            <w:tcW w:w="5386" w:type="dxa"/>
            <w:tcBorders>
              <w:top w:val="nil"/>
              <w:left w:val="nil"/>
              <w:bottom w:val="single" w:sz="4" w:space="0" w:color="auto"/>
              <w:right w:val="single" w:sz="4" w:space="0" w:color="auto"/>
            </w:tcBorders>
            <w:vAlign w:val="center"/>
            <w:hideMark/>
          </w:tcPr>
          <w:p w14:paraId="7F7CC007"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Aktivnosti mjere obuhvaćaju poslove od pripreme i sklapanja ugovora do realizacije sklopljenih ugovora i ispunjenja svih ugovornih obveza. Navedene aktivnosti podrazumijevaju pružanje stručne podrške investitorima, koordinaciju svih aktivnosti i dionika potrebnih za konačnu realizaciju projekta</w:t>
            </w:r>
          </w:p>
        </w:tc>
        <w:tc>
          <w:tcPr>
            <w:tcW w:w="222" w:type="dxa"/>
            <w:vAlign w:val="center"/>
            <w:hideMark/>
          </w:tcPr>
          <w:p w14:paraId="6FDFCAF2"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2158118A" w14:textId="77777777" w:rsidTr="001C7DE3">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D9F4469"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STRATEŠKI CILJ 2.</w:t>
            </w:r>
          </w:p>
          <w:p w14:paraId="3210384D"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Učinkovito upravljanje nekretninama koje nisu od strateškog značaja za Republiku Hrvatsku</w:t>
            </w:r>
          </w:p>
        </w:tc>
        <w:tc>
          <w:tcPr>
            <w:tcW w:w="222" w:type="dxa"/>
            <w:shd w:val="clear" w:color="auto" w:fill="FFFFFF" w:themeFill="background1"/>
            <w:vAlign w:val="center"/>
            <w:hideMark/>
          </w:tcPr>
          <w:p w14:paraId="334CB8BE"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33C7D562" w14:textId="77777777" w:rsidTr="001C7DE3">
        <w:trPr>
          <w:gridAfter w:val="1"/>
          <w:wAfter w:w="222" w:type="dxa"/>
          <w:trHeight w:val="567"/>
        </w:trPr>
        <w:tc>
          <w:tcPr>
            <w:tcW w:w="368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AA59DAB"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MJERE</w:t>
            </w:r>
          </w:p>
        </w:tc>
        <w:tc>
          <w:tcPr>
            <w:tcW w:w="53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E9E8E59"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04339488" w14:textId="77777777" w:rsidTr="001C7DE3">
        <w:trPr>
          <w:trHeight w:val="2124"/>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451DD68"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2.1. Koordinacija upravljanja nekretninama u vlasništvu Republike Hrvatske u odnosu na nadležna tijela za provedbu decentraliziranog modela upravljanja nekretninama</w:t>
            </w:r>
          </w:p>
        </w:tc>
        <w:tc>
          <w:tcPr>
            <w:tcW w:w="5386" w:type="dxa"/>
            <w:tcBorders>
              <w:top w:val="nil"/>
              <w:left w:val="nil"/>
              <w:bottom w:val="single" w:sz="4" w:space="0" w:color="auto"/>
              <w:right w:val="single" w:sz="4" w:space="0" w:color="auto"/>
            </w:tcBorders>
            <w:vAlign w:val="center"/>
            <w:hideMark/>
          </w:tcPr>
          <w:p w14:paraId="23A7993A"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Poslove koordinacije upravljanja nekretninama u vlasništvu Republike Hrvatske u odnosu na nadležna tijela za provedbu decentraliziranog modela upravljanja nekretninama provodi MPGI. Mjera osim stručno operativnih smjernica nadležnim tijelima od strane MPGI, obuhvaća i praćenje učinaka upravljanja nekretninama</w:t>
            </w:r>
          </w:p>
        </w:tc>
        <w:tc>
          <w:tcPr>
            <w:tcW w:w="222" w:type="dxa"/>
            <w:vAlign w:val="center"/>
            <w:hideMark/>
          </w:tcPr>
          <w:p w14:paraId="6FAE139E"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1F725F77" w14:textId="77777777" w:rsidTr="001C7DE3">
        <w:trPr>
          <w:trHeight w:val="2963"/>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9D5C9E5"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2.2. Aktivacija neiskorištenih nekretnina</w:t>
            </w:r>
          </w:p>
        </w:tc>
        <w:tc>
          <w:tcPr>
            <w:tcW w:w="5386" w:type="dxa"/>
            <w:tcBorders>
              <w:top w:val="nil"/>
              <w:left w:val="nil"/>
              <w:bottom w:val="single" w:sz="4" w:space="0" w:color="auto"/>
              <w:right w:val="single" w:sz="4" w:space="0" w:color="auto"/>
            </w:tcBorders>
            <w:vAlign w:val="center"/>
            <w:hideMark/>
          </w:tcPr>
          <w:p w14:paraId="29AF41A4"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Cilj mjere je daljnje smanjenje portfelja i ubrzanje aktivacije neiskorištenih nekretnina koje nisu od strateškog značaja za Republiku Hrvatsku. Provedbom će se doprinijeti učinkovitijem upravljanju državnim resursima, potaknuti gospodarski rast i razvoj stavljanjem u funkciju zapuštenih i neaktivnih nekretnina, povećati prihodi državnog proračuna i smanjiti rashodi za održavanje neiskorištenih nekretnina čime se omogućava uravnotežen regionalni razvoj</w:t>
            </w:r>
          </w:p>
        </w:tc>
        <w:tc>
          <w:tcPr>
            <w:tcW w:w="222" w:type="dxa"/>
            <w:vAlign w:val="center"/>
            <w:hideMark/>
          </w:tcPr>
          <w:p w14:paraId="4375F630"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6529B453" w14:textId="77777777" w:rsidTr="001C7DE3">
        <w:trPr>
          <w:trHeight w:val="1224"/>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1C50B69"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2.3. Jačanje doprinosa upravljanja nekretninama </w:t>
            </w:r>
            <w:r w:rsidRPr="005A0CC1">
              <w:rPr>
                <w:rFonts w:ascii="Times New Roman" w:eastAsia="Times New Roman" w:hAnsi="Times New Roman" w:cs="Times New Roman"/>
                <w:sz w:val="23"/>
                <w:szCs w:val="23"/>
                <w:lang w:bidi="ar-SA"/>
              </w:rPr>
              <w:t>ostvarenju strateških ciljeva i javnih politika i programa koje donose daljnji rast, razvoj i stabilnost gospodarstva</w:t>
            </w:r>
          </w:p>
        </w:tc>
        <w:tc>
          <w:tcPr>
            <w:tcW w:w="5386" w:type="dxa"/>
            <w:tcBorders>
              <w:top w:val="nil"/>
              <w:left w:val="nil"/>
              <w:bottom w:val="single" w:sz="4" w:space="0" w:color="auto"/>
              <w:right w:val="single" w:sz="4" w:space="0" w:color="auto"/>
            </w:tcBorders>
            <w:vAlign w:val="center"/>
            <w:hideMark/>
          </w:tcPr>
          <w:p w14:paraId="7F5370F1"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Mjera potiče revitalizaciju neiskorištenih nekretnina kroz sinergijski učinak suradnje središnje države i lokalnih zajednica, usmjerenih na stvaranje izravnih i neizravnih učinaka upravljanja nekretninama u ostvarenju ciljeva i javnih politika i programa koje donose daljnji rast, razvoj i stabilnost gospodarstva</w:t>
            </w:r>
          </w:p>
        </w:tc>
        <w:tc>
          <w:tcPr>
            <w:tcW w:w="222" w:type="dxa"/>
            <w:vAlign w:val="center"/>
            <w:hideMark/>
          </w:tcPr>
          <w:p w14:paraId="3F20B76D"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6BDA90D7" w14:textId="77777777" w:rsidTr="001C7DE3">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BF7CB4B"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STRATEŠKI CILJ 3.</w:t>
            </w:r>
          </w:p>
          <w:p w14:paraId="3C3EA861" w14:textId="77777777" w:rsidR="005A0CC1" w:rsidRPr="005A0CC1" w:rsidRDefault="005A0CC1" w:rsidP="005A0CC1">
            <w:pPr>
              <w:widowControl/>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Učinkovito upravljanje nekretninama u vlasništvu Republike Hrvatske za ispunjenje administrativnih potreba korisnika državnog proračuna</w:t>
            </w:r>
          </w:p>
        </w:tc>
        <w:tc>
          <w:tcPr>
            <w:tcW w:w="222" w:type="dxa"/>
            <w:vAlign w:val="center"/>
            <w:hideMark/>
          </w:tcPr>
          <w:p w14:paraId="4ACE6A8D"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5E0EA22F" w14:textId="77777777" w:rsidTr="001C7DE3">
        <w:trPr>
          <w:gridAfter w:val="1"/>
          <w:wAfter w:w="222" w:type="dxa"/>
          <w:trHeight w:val="567"/>
        </w:trPr>
        <w:tc>
          <w:tcPr>
            <w:tcW w:w="368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AF37E58"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MJERE</w:t>
            </w:r>
          </w:p>
        </w:tc>
        <w:tc>
          <w:tcPr>
            <w:tcW w:w="53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A42C1B9"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306B394F" w14:textId="77777777" w:rsidTr="001C7DE3">
        <w:trPr>
          <w:trHeight w:val="936"/>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270C5F4" w14:textId="77777777" w:rsidR="005A0CC1" w:rsidRPr="005A0CC1" w:rsidRDefault="005A0CC1" w:rsidP="005A0CC1">
            <w:pPr>
              <w:widowControl/>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3.1. Utvrđivanje potreba za smještajem TDU i drugih korisnika državnog proračuna</w:t>
            </w:r>
          </w:p>
        </w:tc>
        <w:tc>
          <w:tcPr>
            <w:tcW w:w="5386" w:type="dxa"/>
            <w:tcBorders>
              <w:top w:val="nil"/>
              <w:left w:val="nil"/>
              <w:bottom w:val="single" w:sz="4" w:space="0" w:color="auto"/>
              <w:right w:val="single" w:sz="4" w:space="0" w:color="auto"/>
            </w:tcBorders>
            <w:shd w:val="clear" w:color="000000" w:fill="FFFFFF"/>
            <w:vAlign w:val="center"/>
            <w:hideMark/>
          </w:tcPr>
          <w:p w14:paraId="6B671C85"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Mjera uključuje evidencijske aktivnosti raspoloživih poslovnih prostora kojima raspolaže Republika Hrvatska te povezivanje raspoloživih kapaciteta s administrativnim potrebama za smještajem TDU i drugih korisnika državnog proračuna</w:t>
            </w:r>
          </w:p>
        </w:tc>
        <w:tc>
          <w:tcPr>
            <w:tcW w:w="222" w:type="dxa"/>
            <w:vAlign w:val="center"/>
            <w:hideMark/>
          </w:tcPr>
          <w:p w14:paraId="6DBE1652"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3EB715B6" w14:textId="77777777" w:rsidTr="001C7DE3">
        <w:trPr>
          <w:gridAfter w:val="1"/>
          <w:wAfter w:w="222" w:type="dxa"/>
          <w:trHeight w:val="567"/>
        </w:trPr>
        <w:tc>
          <w:tcPr>
            <w:tcW w:w="368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82465F"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lastRenderedPageBreak/>
              <w:t>MJERE</w:t>
            </w:r>
          </w:p>
        </w:tc>
        <w:tc>
          <w:tcPr>
            <w:tcW w:w="53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D2669B"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1E08D29F" w14:textId="77777777" w:rsidTr="001C7DE3">
        <w:trPr>
          <w:trHeight w:val="1248"/>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0C8B2F3" w14:textId="77777777" w:rsidR="005A0CC1" w:rsidRPr="005A0CC1" w:rsidRDefault="005A0CC1" w:rsidP="005A0CC1">
            <w:pPr>
              <w:widowControl/>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3.2. Ulaganje u nekretnine u vlasništvu Republike Hrvatske u funkciji ostvarenja administrativnih potreba TDU i drugih korisnika državnog proračuna</w:t>
            </w:r>
          </w:p>
        </w:tc>
        <w:tc>
          <w:tcPr>
            <w:tcW w:w="5386" w:type="dxa"/>
            <w:tcBorders>
              <w:top w:val="nil"/>
              <w:left w:val="nil"/>
              <w:bottom w:val="single" w:sz="4" w:space="0" w:color="auto"/>
              <w:right w:val="single" w:sz="4" w:space="0" w:color="auto"/>
            </w:tcBorders>
            <w:shd w:val="clear" w:color="000000" w:fill="FFFFFF"/>
            <w:vAlign w:val="center"/>
            <w:hideMark/>
          </w:tcPr>
          <w:p w14:paraId="7E85C0DB"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Mjera obuhvaća aktivnosti adaptacije (investicijskog i tekućeg ulaganja) nekretnina te potom dodjelu istih na uporabu za potrebe TDU ili drugih korisnika državnog proračuna. Predložena mjera uključuje i aktivnost koordinacije rješavanja pitanja adaptacija i održavanja objekata u kojima djelatnost obavljaju korisnici državnog proračuna, ali i upravna tijela JLP(R)S</w:t>
            </w:r>
          </w:p>
        </w:tc>
        <w:tc>
          <w:tcPr>
            <w:tcW w:w="222" w:type="dxa"/>
            <w:vAlign w:val="center"/>
            <w:hideMark/>
          </w:tcPr>
          <w:p w14:paraId="6C4494AE"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218E4AD3" w14:textId="77777777" w:rsidTr="001C7DE3">
        <w:trPr>
          <w:trHeight w:val="936"/>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384D788" w14:textId="77777777" w:rsidR="005A0CC1" w:rsidRPr="005A0CC1" w:rsidRDefault="005A0CC1" w:rsidP="005A0CC1">
            <w:pPr>
              <w:widowControl/>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3.3. Stjecanje nekretnina za potrebe smještaja TDU i drugih korisnika državnog proračuna</w:t>
            </w:r>
          </w:p>
        </w:tc>
        <w:tc>
          <w:tcPr>
            <w:tcW w:w="5386" w:type="dxa"/>
            <w:tcBorders>
              <w:top w:val="nil"/>
              <w:left w:val="nil"/>
              <w:bottom w:val="single" w:sz="4" w:space="0" w:color="auto"/>
              <w:right w:val="single" w:sz="4" w:space="0" w:color="auto"/>
            </w:tcBorders>
            <w:shd w:val="clear" w:color="000000" w:fill="FFFFFF"/>
            <w:vAlign w:val="center"/>
            <w:hideMark/>
          </w:tcPr>
          <w:p w14:paraId="2A4D57F8"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Aktivnosti navedene mjere tendiraju objedinjavanju smještaja TDU i drugih korisnika državnog proračuna i/ili proračuna JLP(R)S na većim lokacijama</w:t>
            </w:r>
          </w:p>
        </w:tc>
        <w:tc>
          <w:tcPr>
            <w:tcW w:w="222" w:type="dxa"/>
            <w:vAlign w:val="center"/>
            <w:hideMark/>
          </w:tcPr>
          <w:p w14:paraId="74349D95"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015B0EBE" w14:textId="77777777" w:rsidTr="001C7DE3">
        <w:trPr>
          <w:trHeight w:val="936"/>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AD9577E" w14:textId="77777777" w:rsidR="005A0CC1" w:rsidRPr="005A0CC1" w:rsidRDefault="005A0CC1" w:rsidP="005A0CC1">
            <w:pPr>
              <w:widowControl/>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3.4. Obnova, rekonstrukcija i izgradnja nekretnina za smještaj TDU i drugih korisnika državnog proračuna</w:t>
            </w:r>
          </w:p>
        </w:tc>
        <w:tc>
          <w:tcPr>
            <w:tcW w:w="5386" w:type="dxa"/>
            <w:tcBorders>
              <w:top w:val="nil"/>
              <w:left w:val="nil"/>
              <w:bottom w:val="single" w:sz="4" w:space="0" w:color="auto"/>
              <w:right w:val="single" w:sz="4" w:space="0" w:color="auto"/>
            </w:tcBorders>
            <w:shd w:val="clear" w:color="000000" w:fill="FFFFFF"/>
            <w:vAlign w:val="center"/>
            <w:hideMark/>
          </w:tcPr>
          <w:p w14:paraId="2EFE6A9F"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Mjera obuhvaća kapitalna ulaganja za potrebe  smještaja TDU i drugih korisnika državnog proračuna.</w:t>
            </w:r>
          </w:p>
          <w:p w14:paraId="714D1453" w14:textId="77777777" w:rsidR="005A0CC1" w:rsidRPr="005A0CC1" w:rsidRDefault="005A0CC1" w:rsidP="005A0CC1">
            <w:pPr>
              <w:widowControl/>
              <w:jc w:val="both"/>
              <w:rPr>
                <w:rFonts w:ascii="Times New Roman" w:eastAsia="Times New Roman" w:hAnsi="Times New Roman" w:cs="Times New Roman"/>
                <w:color w:val="auto"/>
                <w:lang w:bidi="ar-SA"/>
              </w:rPr>
            </w:pPr>
            <w:r w:rsidRPr="005A0CC1">
              <w:rPr>
                <w:rFonts w:ascii="Times New Roman" w:eastAsia="Times New Roman" w:hAnsi="Times New Roman" w:cs="Times New Roman"/>
                <w:color w:val="auto"/>
                <w:lang w:bidi="ar-SA"/>
              </w:rPr>
              <w:t>Navedeni pristup  objedinjavanja smještaja potencijalno doprinosi ekološkim izazovima i zelenoj tranziciji</w:t>
            </w:r>
          </w:p>
        </w:tc>
        <w:tc>
          <w:tcPr>
            <w:tcW w:w="222" w:type="dxa"/>
            <w:vAlign w:val="center"/>
            <w:hideMark/>
          </w:tcPr>
          <w:p w14:paraId="3511A7B1"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738580E9" w14:textId="77777777" w:rsidTr="001C7DE3">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D512F8B" w14:textId="77777777" w:rsidR="005A0CC1" w:rsidRPr="005A0CC1" w:rsidRDefault="005A0CC1" w:rsidP="005A0CC1">
            <w:pPr>
              <w:widowControl/>
              <w:shd w:val="clear" w:color="auto" w:fill="B4C6E7" w:themeFill="accent1" w:themeFillTint="66"/>
              <w:jc w:val="center"/>
              <w:rPr>
                <w:rFonts w:ascii="Times New Roman" w:eastAsia="Times New Roman" w:hAnsi="Times New Roman" w:cs="Times New Roman"/>
                <w:b/>
                <w:bCs/>
                <w:sz w:val="28"/>
                <w:szCs w:val="28"/>
                <w:lang w:bidi="ar-SA"/>
              </w:rPr>
            </w:pPr>
            <w:r w:rsidRPr="005A0CC1">
              <w:rPr>
                <w:rFonts w:ascii="Times New Roman" w:eastAsia="Times New Roman" w:hAnsi="Times New Roman" w:cs="Times New Roman"/>
                <w:b/>
                <w:bCs/>
                <w:sz w:val="28"/>
                <w:szCs w:val="28"/>
                <w:lang w:bidi="ar-SA"/>
              </w:rPr>
              <w:t>STRATEŠKI CILJ 4.</w:t>
            </w:r>
          </w:p>
          <w:p w14:paraId="4E99BAE4" w14:textId="77777777" w:rsidR="005A0CC1" w:rsidRPr="005A0CC1" w:rsidRDefault="005A0CC1" w:rsidP="005A0CC1">
            <w:pPr>
              <w:widowControl/>
              <w:shd w:val="clear" w:color="auto" w:fill="B4C6E7" w:themeFill="accent1" w:themeFillTint="66"/>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8"/>
                <w:szCs w:val="28"/>
                <w:lang w:bidi="ar-SA"/>
              </w:rPr>
              <w:t>Učinkovito upravljanje pokretninama u vlasništvu Republike Hrvatske i privremeno oduzetom imovinom</w:t>
            </w:r>
          </w:p>
        </w:tc>
        <w:tc>
          <w:tcPr>
            <w:tcW w:w="222" w:type="dxa"/>
            <w:vAlign w:val="center"/>
            <w:hideMark/>
          </w:tcPr>
          <w:p w14:paraId="7AA3A889"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p>
        </w:tc>
      </w:tr>
      <w:tr w:rsidR="005A0CC1" w:rsidRPr="005A0CC1" w14:paraId="0C234E5D" w14:textId="77777777" w:rsidTr="001C7DE3">
        <w:trPr>
          <w:gridAfter w:val="1"/>
          <w:wAfter w:w="222" w:type="dxa"/>
          <w:trHeight w:val="567"/>
        </w:trPr>
        <w:tc>
          <w:tcPr>
            <w:tcW w:w="368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3AF4F45"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MJERE</w:t>
            </w:r>
          </w:p>
        </w:tc>
        <w:tc>
          <w:tcPr>
            <w:tcW w:w="53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781082B"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OPIS MJERA</w:t>
            </w:r>
          </w:p>
        </w:tc>
      </w:tr>
      <w:tr w:rsidR="005A0CC1" w:rsidRPr="005A0CC1" w14:paraId="3813D181" w14:textId="77777777" w:rsidTr="001C7DE3">
        <w:trPr>
          <w:trHeight w:val="624"/>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181F91C"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4.1. Aktivacija pokretnina u vlasništvu Republike Hrvatske</w:t>
            </w:r>
          </w:p>
        </w:tc>
        <w:tc>
          <w:tcPr>
            <w:tcW w:w="5386" w:type="dxa"/>
            <w:tcBorders>
              <w:top w:val="nil"/>
              <w:left w:val="nil"/>
              <w:bottom w:val="single" w:sz="4" w:space="0" w:color="auto"/>
              <w:right w:val="single" w:sz="4" w:space="0" w:color="auto"/>
            </w:tcBorders>
            <w:shd w:val="clear" w:color="000000" w:fill="FFFFFF"/>
            <w:vAlign w:val="center"/>
            <w:hideMark/>
          </w:tcPr>
          <w:p w14:paraId="323E9146"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Predložena mjera obuhvaća od donošenja odluka o prodaji/najmu/zakupu do zbrinjavanja pokretnina kod ovlaštenih tijela. Mjera predviđa i vođenje odgovarajućih evidencija o prihodima od upravljanja pokretninama po raznim osnovama</w:t>
            </w:r>
          </w:p>
        </w:tc>
        <w:tc>
          <w:tcPr>
            <w:tcW w:w="222" w:type="dxa"/>
            <w:vAlign w:val="center"/>
            <w:hideMark/>
          </w:tcPr>
          <w:p w14:paraId="2557E5B3"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5FAA43F7" w14:textId="77777777" w:rsidTr="001C7DE3">
        <w:trPr>
          <w:trHeight w:val="936"/>
        </w:trPr>
        <w:tc>
          <w:tcPr>
            <w:tcW w:w="368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B5914A8"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4.2. Unaprjeđenje upravljanja privremeno oduzetom imovinom</w:t>
            </w:r>
          </w:p>
          <w:p w14:paraId="537A6638" w14:textId="77777777" w:rsidR="005A0CC1" w:rsidRPr="005A0CC1" w:rsidRDefault="005A0CC1" w:rsidP="005A0CC1">
            <w:pPr>
              <w:widowControl/>
              <w:rPr>
                <w:rFonts w:ascii="Times New Roman" w:eastAsia="Times New Roman" w:hAnsi="Times New Roman" w:cs="Times New Roman"/>
                <w:lang w:bidi="ar-SA"/>
              </w:rPr>
            </w:pPr>
          </w:p>
        </w:tc>
        <w:tc>
          <w:tcPr>
            <w:tcW w:w="5386" w:type="dxa"/>
            <w:tcBorders>
              <w:top w:val="nil"/>
              <w:left w:val="nil"/>
              <w:bottom w:val="single" w:sz="4" w:space="0" w:color="auto"/>
              <w:right w:val="single" w:sz="4" w:space="0" w:color="auto"/>
            </w:tcBorders>
            <w:shd w:val="clear" w:color="000000" w:fill="FFFFFF"/>
            <w:vAlign w:val="center"/>
            <w:hideMark/>
          </w:tcPr>
          <w:p w14:paraId="19B04F7B"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Mjerom se regulira upravljanje privremeno oduzetom imovinom kojom upravlja MPGI u skladu s namjenom privremeno oduzete imovine (pokretnine, nekretnine, dionice, poslovni udjeli i virtualne valute)  prodajom, davanjem na uporabu, najam ili zakup, kao i vođenje odgovarajućih evidencija</w:t>
            </w:r>
          </w:p>
        </w:tc>
        <w:tc>
          <w:tcPr>
            <w:tcW w:w="222" w:type="dxa"/>
            <w:vAlign w:val="center"/>
            <w:hideMark/>
          </w:tcPr>
          <w:p w14:paraId="1BE5F30F"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1BECAFA2" w14:textId="77777777" w:rsidTr="001C7DE3">
        <w:trPr>
          <w:trHeight w:val="936"/>
        </w:trPr>
        <w:tc>
          <w:tcPr>
            <w:tcW w:w="368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FE3971"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4.3. Donošenje i provedba akcijskog plana u području oduzimanja i povrata imovine</w:t>
            </w:r>
          </w:p>
        </w:tc>
        <w:tc>
          <w:tcPr>
            <w:tcW w:w="5386" w:type="dxa"/>
            <w:tcBorders>
              <w:top w:val="single" w:sz="4" w:space="0" w:color="auto"/>
              <w:left w:val="nil"/>
              <w:bottom w:val="single" w:sz="4" w:space="0" w:color="auto"/>
              <w:right w:val="single" w:sz="4" w:space="0" w:color="auto"/>
            </w:tcBorders>
            <w:shd w:val="clear" w:color="000000" w:fill="FFFFFF"/>
            <w:vAlign w:val="center"/>
          </w:tcPr>
          <w:p w14:paraId="30EE6E4E"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color w:val="auto"/>
              </w:rPr>
              <w:t xml:space="preserve">Predložena mjera obuhvaća donošenje i provedbu Akcijskog plana u području oduzimanja i povrata imovine, kao operativnog instrumenta za provedbu strateškog cilja 4., radi osiguravanja koordinirane, sustavne i učinkovite provedbe aktivnosti u kaznenim postupcima, sukladno članku 25. </w:t>
            </w:r>
            <w:r w:rsidRPr="005A0CC1">
              <w:rPr>
                <w:rFonts w:ascii="Times New Roman" w:hAnsi="Times New Roman" w:cs="Times New Roman"/>
                <w:bCs/>
                <w:color w:val="auto"/>
                <w:shd w:val="clear" w:color="auto" w:fill="FFFFFF"/>
              </w:rPr>
              <w:t>Direktive (EU) 2024/1260 Europskog parlamenta i Vijeća od 24. travnja 2024. o povratu i oduzimanju imovine</w:t>
            </w:r>
            <w:r w:rsidRPr="005A0CC1">
              <w:rPr>
                <w:rFonts w:ascii="Times New Roman" w:hAnsi="Times New Roman" w:cs="Times New Roman"/>
                <w:bCs/>
                <w:i/>
                <w:color w:val="auto"/>
                <w:shd w:val="clear" w:color="auto" w:fill="FFFFFF"/>
              </w:rPr>
              <w:t xml:space="preserve"> </w:t>
            </w:r>
            <w:r w:rsidRPr="005A0CC1">
              <w:rPr>
                <w:rFonts w:ascii="Times New Roman" w:hAnsi="Times New Roman" w:cs="Times New Roman"/>
                <w:bCs/>
                <w:color w:val="auto"/>
                <w:shd w:val="clear" w:color="auto" w:fill="FFFFFF"/>
              </w:rPr>
              <w:t xml:space="preserve">( </w:t>
            </w:r>
            <w:r w:rsidRPr="005A0CC1">
              <w:rPr>
                <w:rFonts w:ascii="Times New Roman" w:hAnsi="Times New Roman" w:cs="Times New Roman"/>
                <w:i/>
                <w:iCs/>
                <w:color w:val="auto"/>
                <w:shd w:val="clear" w:color="auto" w:fill="FFFFFF"/>
              </w:rPr>
              <w:t>SL L, 2024/1260, 2.5.2024.)</w:t>
            </w:r>
          </w:p>
        </w:tc>
        <w:tc>
          <w:tcPr>
            <w:tcW w:w="222" w:type="dxa"/>
            <w:vAlign w:val="center"/>
          </w:tcPr>
          <w:p w14:paraId="460A8066"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bl>
    <w:p w14:paraId="621AA6E0"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3380D517"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707B948A"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4FFE7362"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6F9D5D2D"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030C7ABE"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10CD7403"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34E85848"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508F8DAF"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r w:rsidRPr="005A0CC1">
        <w:rPr>
          <w:rFonts w:ascii="Times New Roman" w:eastAsia="Times New Roman" w:hAnsi="Times New Roman" w:cs="Times New Roman"/>
          <w:color w:val="auto"/>
          <w:kern w:val="2"/>
          <w:lang w:eastAsia="en-US" w:bidi="ar-SA"/>
          <w14:ligatures w14:val="standardContextual"/>
        </w:rPr>
        <w:t>Kao dodatna podrška realizaciji navedenih strateških ciljeva definirano je i pet horizontalnih mjera.</w:t>
      </w:r>
    </w:p>
    <w:p w14:paraId="2E3B5003" w14:textId="77777777" w:rsidR="005A0CC1" w:rsidRPr="005A0CC1" w:rsidRDefault="005A0CC1" w:rsidP="005A0CC1">
      <w:pPr>
        <w:jc w:val="both"/>
        <w:rPr>
          <w:rFonts w:ascii="Times New Roman" w:eastAsia="Times New Roman" w:hAnsi="Times New Roman" w:cs="Times New Roman"/>
          <w:color w:val="auto"/>
          <w:kern w:val="2"/>
          <w:lang w:eastAsia="en-US" w:bidi="ar-SA"/>
          <w14:ligatures w14:val="standardContextual"/>
        </w:rPr>
      </w:pPr>
    </w:p>
    <w:p w14:paraId="347949F9" w14:textId="77777777" w:rsidR="005A0CC1" w:rsidRPr="005A0CC1" w:rsidRDefault="005A0CC1" w:rsidP="005A0CC1">
      <w:pPr>
        <w:ind w:firstLine="23"/>
        <w:jc w:val="both"/>
        <w:rPr>
          <w:rFonts w:ascii="Times New Roman" w:eastAsia="Times New Roman" w:hAnsi="Times New Roman" w:cs="Times New Roman"/>
          <w:b/>
          <w:bCs/>
        </w:rPr>
      </w:pPr>
      <w:r w:rsidRPr="005A0CC1">
        <w:rPr>
          <w:rFonts w:ascii="Times New Roman" w:eastAsia="Times New Roman" w:hAnsi="Times New Roman" w:cs="Times New Roman"/>
          <w:b/>
          <w:bCs/>
        </w:rPr>
        <w:t>Tablica 3.4.: Pregled horizontalnih mjera kao dodatna podrška ispunjenju svih strateških ciljeva</w:t>
      </w:r>
    </w:p>
    <w:tbl>
      <w:tblPr>
        <w:tblW w:w="9284" w:type="dxa"/>
        <w:tblLook w:val="04A0" w:firstRow="1" w:lastRow="0" w:firstColumn="1" w:lastColumn="0" w:noHBand="0" w:noVBand="1"/>
      </w:tblPr>
      <w:tblGrid>
        <w:gridCol w:w="3676"/>
        <w:gridCol w:w="5386"/>
        <w:gridCol w:w="222"/>
      </w:tblGrid>
      <w:tr w:rsidR="005A0CC1" w:rsidRPr="005A0CC1" w14:paraId="2AE4B8F3" w14:textId="77777777" w:rsidTr="001C7DE3">
        <w:trPr>
          <w:gridAfter w:val="1"/>
          <w:wAfter w:w="222" w:type="dxa"/>
          <w:trHeight w:val="284"/>
        </w:trPr>
        <w:tc>
          <w:tcPr>
            <w:tcW w:w="3676" w:type="dxa"/>
            <w:vMerge w:val="restart"/>
            <w:tcBorders>
              <w:top w:val="single" w:sz="8" w:space="0" w:color="auto"/>
              <w:left w:val="single" w:sz="8" w:space="0" w:color="auto"/>
              <w:bottom w:val="single" w:sz="8" w:space="0" w:color="000000"/>
              <w:right w:val="single" w:sz="8" w:space="0" w:color="auto"/>
            </w:tcBorders>
            <w:shd w:val="clear" w:color="auto" w:fill="B4C6E7" w:themeFill="accent1" w:themeFillTint="66"/>
            <w:vAlign w:val="center"/>
            <w:hideMark/>
          </w:tcPr>
          <w:p w14:paraId="2C17A8DB"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MJERE</w:t>
            </w:r>
          </w:p>
        </w:tc>
        <w:tc>
          <w:tcPr>
            <w:tcW w:w="5386" w:type="dxa"/>
            <w:vMerge w:val="restart"/>
            <w:tcBorders>
              <w:top w:val="single" w:sz="8" w:space="0" w:color="auto"/>
              <w:left w:val="single" w:sz="8" w:space="0" w:color="auto"/>
              <w:bottom w:val="single" w:sz="8" w:space="0" w:color="000000"/>
              <w:right w:val="single" w:sz="8" w:space="0" w:color="auto"/>
            </w:tcBorders>
            <w:shd w:val="clear" w:color="auto" w:fill="B4C6E7" w:themeFill="accent1" w:themeFillTint="66"/>
            <w:vAlign w:val="center"/>
            <w:hideMark/>
          </w:tcPr>
          <w:p w14:paraId="22B59368"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r w:rsidRPr="005A0CC1">
              <w:rPr>
                <w:rFonts w:ascii="Times New Roman" w:eastAsia="Times New Roman" w:hAnsi="Times New Roman" w:cs="Times New Roman"/>
                <w:b/>
                <w:bCs/>
                <w:sz w:val="22"/>
                <w:szCs w:val="22"/>
                <w:lang w:bidi="ar-SA"/>
              </w:rPr>
              <w:t xml:space="preserve">OPIS HORIZONTALNE MJERE </w:t>
            </w:r>
          </w:p>
        </w:tc>
      </w:tr>
      <w:tr w:rsidR="005A0CC1" w:rsidRPr="005A0CC1" w14:paraId="02145963" w14:textId="77777777" w:rsidTr="001C7DE3">
        <w:trPr>
          <w:trHeight w:val="147"/>
        </w:trPr>
        <w:tc>
          <w:tcPr>
            <w:tcW w:w="3676" w:type="dxa"/>
            <w:vMerge/>
            <w:tcBorders>
              <w:top w:val="single" w:sz="8" w:space="0" w:color="auto"/>
              <w:left w:val="single" w:sz="8" w:space="0" w:color="auto"/>
              <w:bottom w:val="single" w:sz="8" w:space="0" w:color="000000"/>
              <w:right w:val="single" w:sz="8" w:space="0" w:color="auto"/>
            </w:tcBorders>
            <w:vAlign w:val="center"/>
            <w:hideMark/>
          </w:tcPr>
          <w:p w14:paraId="239816A6" w14:textId="77777777" w:rsidR="005A0CC1" w:rsidRPr="005A0CC1" w:rsidRDefault="005A0CC1" w:rsidP="005A0CC1">
            <w:pPr>
              <w:widowControl/>
              <w:rPr>
                <w:rFonts w:ascii="Times New Roman" w:eastAsia="Times New Roman" w:hAnsi="Times New Roman" w:cs="Times New Roman"/>
                <w:b/>
                <w:bCs/>
                <w:sz w:val="22"/>
                <w:szCs w:val="22"/>
                <w:lang w:bidi="ar-SA"/>
              </w:rPr>
            </w:pPr>
          </w:p>
        </w:tc>
        <w:tc>
          <w:tcPr>
            <w:tcW w:w="5386" w:type="dxa"/>
            <w:vMerge/>
            <w:tcBorders>
              <w:top w:val="single" w:sz="8" w:space="0" w:color="auto"/>
              <w:left w:val="single" w:sz="8" w:space="0" w:color="auto"/>
              <w:bottom w:val="single" w:sz="8" w:space="0" w:color="000000"/>
              <w:right w:val="single" w:sz="8" w:space="0" w:color="auto"/>
            </w:tcBorders>
            <w:vAlign w:val="center"/>
            <w:hideMark/>
          </w:tcPr>
          <w:p w14:paraId="1CA9A603" w14:textId="77777777" w:rsidR="005A0CC1" w:rsidRPr="005A0CC1" w:rsidRDefault="005A0CC1" w:rsidP="005A0CC1">
            <w:pPr>
              <w:widowControl/>
              <w:rPr>
                <w:rFonts w:ascii="Times New Roman" w:eastAsia="Times New Roman" w:hAnsi="Times New Roman" w:cs="Times New Roman"/>
                <w:b/>
                <w:bCs/>
                <w:sz w:val="22"/>
                <w:szCs w:val="22"/>
                <w:lang w:bidi="ar-SA"/>
              </w:rPr>
            </w:pPr>
          </w:p>
        </w:tc>
        <w:tc>
          <w:tcPr>
            <w:tcW w:w="222" w:type="dxa"/>
            <w:tcBorders>
              <w:top w:val="nil"/>
              <w:left w:val="nil"/>
              <w:bottom w:val="nil"/>
              <w:right w:val="nil"/>
            </w:tcBorders>
            <w:noWrap/>
            <w:vAlign w:val="bottom"/>
            <w:hideMark/>
          </w:tcPr>
          <w:p w14:paraId="33529469" w14:textId="77777777" w:rsidR="005A0CC1" w:rsidRPr="005A0CC1" w:rsidRDefault="005A0CC1" w:rsidP="005A0CC1">
            <w:pPr>
              <w:widowControl/>
              <w:jc w:val="center"/>
              <w:rPr>
                <w:rFonts w:ascii="Times New Roman" w:eastAsia="Times New Roman" w:hAnsi="Times New Roman" w:cs="Times New Roman"/>
                <w:b/>
                <w:bCs/>
                <w:sz w:val="22"/>
                <w:szCs w:val="22"/>
                <w:lang w:bidi="ar-SA"/>
              </w:rPr>
            </w:pPr>
          </w:p>
        </w:tc>
      </w:tr>
      <w:tr w:rsidR="005A0CC1" w:rsidRPr="005A0CC1" w14:paraId="2F11E6C7" w14:textId="77777777" w:rsidTr="001C7DE3">
        <w:trPr>
          <w:trHeight w:val="1105"/>
        </w:trPr>
        <w:tc>
          <w:tcPr>
            <w:tcW w:w="3676" w:type="dxa"/>
            <w:tcBorders>
              <w:top w:val="single" w:sz="8" w:space="0" w:color="000000"/>
              <w:left w:val="single" w:sz="8" w:space="0" w:color="auto"/>
              <w:bottom w:val="single" w:sz="4" w:space="0" w:color="auto"/>
              <w:right w:val="single" w:sz="8" w:space="0" w:color="auto"/>
            </w:tcBorders>
            <w:shd w:val="clear" w:color="auto" w:fill="D9E2F3" w:themeFill="accent1" w:themeFillTint="33"/>
            <w:vAlign w:val="center"/>
            <w:hideMark/>
          </w:tcPr>
          <w:p w14:paraId="61B5EB40"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1</w:t>
            </w:r>
            <w:r w:rsidRPr="005A0CC1">
              <w:rPr>
                <w:rFonts w:ascii="Times New Roman" w:eastAsia="Times New Roman" w:hAnsi="Times New Roman" w:cs="Times New Roman"/>
                <w:shd w:val="clear" w:color="auto" w:fill="D9E2F3" w:themeFill="accent1" w:themeFillTint="33"/>
                <w:lang w:bidi="ar-SA"/>
              </w:rPr>
              <w:t xml:space="preserve">. Jačanje koordinacije s drugim </w:t>
            </w:r>
            <w:r w:rsidRPr="005A0CC1">
              <w:rPr>
                <w:rFonts w:ascii="Times New Roman" w:eastAsia="Times New Roman" w:hAnsi="Times New Roman" w:cs="Times New Roman"/>
                <w:color w:val="auto"/>
                <w:shd w:val="clear" w:color="auto" w:fill="D9E2F3" w:themeFill="accent1" w:themeFillTint="33"/>
                <w:lang w:bidi="ar-SA"/>
              </w:rPr>
              <w:t xml:space="preserve">TDU i </w:t>
            </w:r>
            <w:r w:rsidRPr="005A0CC1">
              <w:rPr>
                <w:rFonts w:ascii="Times New Roman" w:eastAsia="Times New Roman" w:hAnsi="Times New Roman" w:cs="Times New Roman"/>
                <w:shd w:val="clear" w:color="auto" w:fill="D9E2F3" w:themeFill="accent1" w:themeFillTint="33"/>
                <w:lang w:bidi="ar-SA"/>
              </w:rPr>
              <w:t>pravnim osobama kojima je Republika Hrvatska osnivač</w:t>
            </w:r>
          </w:p>
        </w:tc>
        <w:tc>
          <w:tcPr>
            <w:tcW w:w="5386" w:type="dxa"/>
            <w:tcBorders>
              <w:top w:val="single" w:sz="8" w:space="0" w:color="000000"/>
              <w:left w:val="nil"/>
              <w:bottom w:val="single" w:sz="4" w:space="0" w:color="auto"/>
              <w:right w:val="single" w:sz="8" w:space="0" w:color="auto"/>
            </w:tcBorders>
            <w:shd w:val="clear" w:color="000000" w:fill="FFFFFF"/>
            <w:vAlign w:val="center"/>
            <w:hideMark/>
          </w:tcPr>
          <w:p w14:paraId="1B0EF09D"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Mjera podrazumijeva aktivnosti interinstitucionalne suradnje u svrhu brže aktivacije neiskorištenih nekretnina u vlasništvu Republike Hrvatske</w:t>
            </w:r>
          </w:p>
        </w:tc>
        <w:tc>
          <w:tcPr>
            <w:tcW w:w="222" w:type="dxa"/>
            <w:vAlign w:val="center"/>
            <w:hideMark/>
          </w:tcPr>
          <w:p w14:paraId="273172E8"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451B09CE" w14:textId="77777777" w:rsidTr="001C7DE3">
        <w:trPr>
          <w:trHeight w:val="1401"/>
        </w:trPr>
        <w:tc>
          <w:tcPr>
            <w:tcW w:w="3676" w:type="dxa"/>
            <w:tcBorders>
              <w:top w:val="single" w:sz="4" w:space="0" w:color="auto"/>
              <w:left w:val="single" w:sz="8" w:space="0" w:color="auto"/>
              <w:bottom w:val="single" w:sz="4" w:space="0" w:color="auto"/>
              <w:right w:val="single" w:sz="8" w:space="0" w:color="auto"/>
            </w:tcBorders>
            <w:shd w:val="clear" w:color="auto" w:fill="D9E2F3" w:themeFill="accent1" w:themeFillTint="33"/>
            <w:vAlign w:val="center"/>
            <w:hideMark/>
          </w:tcPr>
          <w:p w14:paraId="5CCF387B"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2. Učinkovito upravljanje ljudskim potencijalima</w:t>
            </w:r>
          </w:p>
        </w:tc>
        <w:tc>
          <w:tcPr>
            <w:tcW w:w="5386" w:type="dxa"/>
            <w:tcBorders>
              <w:top w:val="single" w:sz="4" w:space="0" w:color="auto"/>
              <w:left w:val="nil"/>
              <w:bottom w:val="single" w:sz="4" w:space="0" w:color="auto"/>
              <w:right w:val="single" w:sz="8" w:space="0" w:color="auto"/>
            </w:tcBorders>
            <w:shd w:val="clear" w:color="000000" w:fill="FFFFFF"/>
            <w:vAlign w:val="center"/>
            <w:hideMark/>
          </w:tcPr>
          <w:p w14:paraId="14B6BEDF"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Mjera podrazumijeva provedbu edukacija i stručnog osposobljavanja te provedbu smjernica za organiziranje sustava upravljanja koji može učinkovito pridonijeti organizacijskim i operativnim potrebama</w:t>
            </w:r>
          </w:p>
        </w:tc>
        <w:tc>
          <w:tcPr>
            <w:tcW w:w="222" w:type="dxa"/>
            <w:vAlign w:val="center"/>
            <w:hideMark/>
          </w:tcPr>
          <w:p w14:paraId="41C531FA"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798793E2" w14:textId="77777777" w:rsidTr="001C7DE3">
        <w:trPr>
          <w:trHeight w:val="1832"/>
        </w:trPr>
        <w:tc>
          <w:tcPr>
            <w:tcW w:w="3676" w:type="dxa"/>
            <w:tcBorders>
              <w:top w:val="single" w:sz="4" w:space="0" w:color="auto"/>
              <w:left w:val="single" w:sz="8" w:space="0" w:color="auto"/>
              <w:bottom w:val="single" w:sz="4" w:space="0" w:color="auto"/>
              <w:right w:val="single" w:sz="8" w:space="0" w:color="auto"/>
            </w:tcBorders>
            <w:shd w:val="clear" w:color="auto" w:fill="D9E2F3" w:themeFill="accent1" w:themeFillTint="33"/>
            <w:vAlign w:val="center"/>
            <w:hideMark/>
          </w:tcPr>
          <w:p w14:paraId="3953F057"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3. Harmonizacija postojećih propisa i procesa</w:t>
            </w:r>
          </w:p>
        </w:tc>
        <w:tc>
          <w:tcPr>
            <w:tcW w:w="5386" w:type="dxa"/>
            <w:tcBorders>
              <w:top w:val="single" w:sz="4" w:space="0" w:color="auto"/>
              <w:left w:val="nil"/>
              <w:bottom w:val="single" w:sz="4" w:space="0" w:color="auto"/>
              <w:right w:val="single" w:sz="8" w:space="0" w:color="auto"/>
            </w:tcBorders>
            <w:shd w:val="clear" w:color="000000" w:fill="FFFFFF"/>
            <w:vAlign w:val="center"/>
            <w:hideMark/>
          </w:tcPr>
          <w:p w14:paraId="6437FE8A"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Mjera pretpostavlja analizu postojećih propisa u području upravljanja državnom imovinom i iniciranje izmjena i dopuna istih te predlaganje novih propisa kao i aktivnosti sudjelovanja u postupku izrade prijedloga novih propisa ili izmjena i dopuna postojećih propisa čiji su stručni nositelji </w:t>
            </w:r>
            <w:r w:rsidRPr="005A0CC1">
              <w:rPr>
                <w:rFonts w:ascii="Times New Roman" w:eastAsia="Times New Roman" w:hAnsi="Times New Roman" w:cs="Times New Roman"/>
                <w:color w:val="auto"/>
                <w:lang w:bidi="ar-SA"/>
              </w:rPr>
              <w:t>TDU</w:t>
            </w:r>
          </w:p>
        </w:tc>
        <w:tc>
          <w:tcPr>
            <w:tcW w:w="222" w:type="dxa"/>
            <w:vAlign w:val="center"/>
            <w:hideMark/>
          </w:tcPr>
          <w:p w14:paraId="532CD22B"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41FC8D2D" w14:textId="77777777" w:rsidTr="001C7DE3">
        <w:trPr>
          <w:trHeight w:val="3005"/>
        </w:trPr>
        <w:tc>
          <w:tcPr>
            <w:tcW w:w="3676" w:type="dxa"/>
            <w:vMerge w:val="restart"/>
            <w:tcBorders>
              <w:top w:val="single" w:sz="4" w:space="0" w:color="auto"/>
              <w:left w:val="single" w:sz="8" w:space="0" w:color="auto"/>
              <w:bottom w:val="single" w:sz="4" w:space="0" w:color="auto"/>
              <w:right w:val="single" w:sz="8" w:space="0" w:color="auto"/>
            </w:tcBorders>
            <w:shd w:val="clear" w:color="auto" w:fill="D9E2F3" w:themeFill="accent1" w:themeFillTint="33"/>
            <w:vAlign w:val="center"/>
            <w:hideMark/>
          </w:tcPr>
          <w:p w14:paraId="61414441"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4. Unaprjeđenje sveobuhvatne interne evidencije pojavnih oblika državne imovine u portfelju MPGI</w:t>
            </w:r>
          </w:p>
        </w:tc>
        <w:tc>
          <w:tcPr>
            <w:tcW w:w="5386" w:type="dxa"/>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1FE454E5"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Mjera podrazumijeva uspostavu, vođenje, održavanje i unaprjeđenje interoperabilnog sustava za evidenciju nekretnina (Interni registar nekretnina - IRN) te praćenje učinaka od raspolaganja nekretninama putem aplikacije Učinci raspolaganja državnim nekretninama (URDN). Navedeno doprinosi nacionalnom cilju Republike Hrvatske u pogledu ulaganja u digitalnu infrastrukturu i poticanju uvođenja digitalnih rješenja u interesu građana i hrvatskog gospodarstva, čime se daje i doprinos u izgradnji digitalne budućnosti Europe</w:t>
            </w:r>
          </w:p>
        </w:tc>
        <w:tc>
          <w:tcPr>
            <w:tcW w:w="222" w:type="dxa"/>
            <w:vAlign w:val="center"/>
            <w:hideMark/>
          </w:tcPr>
          <w:p w14:paraId="1599A285"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r w:rsidR="005A0CC1" w:rsidRPr="005A0CC1" w14:paraId="7DE73A08" w14:textId="77777777" w:rsidTr="001C7DE3">
        <w:trPr>
          <w:trHeight w:val="40"/>
        </w:trPr>
        <w:tc>
          <w:tcPr>
            <w:tcW w:w="3676" w:type="dxa"/>
            <w:vMerge/>
            <w:tcBorders>
              <w:top w:val="single" w:sz="8" w:space="0" w:color="auto"/>
              <w:left w:val="single" w:sz="8" w:space="0" w:color="auto"/>
              <w:bottom w:val="single" w:sz="4" w:space="0" w:color="auto"/>
              <w:right w:val="single" w:sz="8" w:space="0" w:color="auto"/>
            </w:tcBorders>
            <w:shd w:val="clear" w:color="auto" w:fill="D9E2F3" w:themeFill="accent1" w:themeFillTint="33"/>
            <w:vAlign w:val="center"/>
            <w:hideMark/>
          </w:tcPr>
          <w:p w14:paraId="10C0CE6B" w14:textId="77777777" w:rsidR="005A0CC1" w:rsidRPr="005A0CC1" w:rsidRDefault="005A0CC1" w:rsidP="005A0CC1">
            <w:pPr>
              <w:widowControl/>
              <w:rPr>
                <w:rFonts w:ascii="Times New Roman" w:eastAsia="Times New Roman" w:hAnsi="Times New Roman" w:cs="Times New Roman"/>
                <w:lang w:bidi="ar-SA"/>
              </w:rPr>
            </w:pPr>
          </w:p>
        </w:tc>
        <w:tc>
          <w:tcPr>
            <w:tcW w:w="5386" w:type="dxa"/>
            <w:vMerge/>
            <w:tcBorders>
              <w:top w:val="single" w:sz="8" w:space="0" w:color="auto"/>
              <w:left w:val="single" w:sz="8" w:space="0" w:color="auto"/>
              <w:bottom w:val="single" w:sz="4" w:space="0" w:color="auto"/>
              <w:right w:val="single" w:sz="8" w:space="0" w:color="auto"/>
            </w:tcBorders>
            <w:vAlign w:val="center"/>
            <w:hideMark/>
          </w:tcPr>
          <w:p w14:paraId="4FBB94E5" w14:textId="77777777" w:rsidR="005A0CC1" w:rsidRPr="005A0CC1" w:rsidRDefault="005A0CC1" w:rsidP="005A0CC1">
            <w:pPr>
              <w:widowControl/>
              <w:rPr>
                <w:rFonts w:ascii="Times New Roman" w:eastAsia="Times New Roman" w:hAnsi="Times New Roman" w:cs="Times New Roman"/>
                <w:lang w:bidi="ar-SA"/>
              </w:rPr>
            </w:pPr>
          </w:p>
        </w:tc>
        <w:tc>
          <w:tcPr>
            <w:tcW w:w="222" w:type="dxa"/>
            <w:tcBorders>
              <w:top w:val="nil"/>
              <w:left w:val="nil"/>
              <w:bottom w:val="nil"/>
              <w:right w:val="nil"/>
            </w:tcBorders>
            <w:noWrap/>
            <w:vAlign w:val="bottom"/>
            <w:hideMark/>
          </w:tcPr>
          <w:p w14:paraId="6A4BED9B" w14:textId="77777777" w:rsidR="005A0CC1" w:rsidRPr="005A0CC1" w:rsidRDefault="005A0CC1" w:rsidP="005A0CC1">
            <w:pPr>
              <w:widowControl/>
              <w:jc w:val="both"/>
              <w:rPr>
                <w:rFonts w:ascii="Times New Roman" w:eastAsia="Times New Roman" w:hAnsi="Times New Roman" w:cs="Times New Roman"/>
                <w:lang w:bidi="ar-SA"/>
              </w:rPr>
            </w:pPr>
          </w:p>
        </w:tc>
      </w:tr>
      <w:tr w:rsidR="005A0CC1" w:rsidRPr="005A0CC1" w14:paraId="0597FBF9" w14:textId="77777777" w:rsidTr="001C7DE3">
        <w:trPr>
          <w:trHeight w:val="3981"/>
        </w:trPr>
        <w:tc>
          <w:tcPr>
            <w:tcW w:w="3676" w:type="dxa"/>
            <w:tcBorders>
              <w:top w:val="single" w:sz="4" w:space="0" w:color="auto"/>
              <w:left w:val="single" w:sz="8" w:space="0" w:color="auto"/>
              <w:bottom w:val="single" w:sz="4" w:space="0" w:color="auto"/>
              <w:right w:val="single" w:sz="8" w:space="0" w:color="auto"/>
            </w:tcBorders>
            <w:shd w:val="clear" w:color="auto" w:fill="D9E2F3" w:themeFill="accent1" w:themeFillTint="33"/>
            <w:vAlign w:val="center"/>
            <w:hideMark/>
          </w:tcPr>
          <w:p w14:paraId="2AAA463C" w14:textId="77777777" w:rsidR="005A0CC1" w:rsidRPr="005A0CC1" w:rsidRDefault="005A0CC1" w:rsidP="005A0CC1">
            <w:pPr>
              <w:widowControl/>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5. </w:t>
            </w:r>
            <w:r w:rsidRPr="005A0CC1">
              <w:rPr>
                <w:rFonts w:ascii="Times New Roman" w:eastAsia="Times New Roman" w:hAnsi="Times New Roman" w:cs="Times New Roman"/>
                <w:shd w:val="clear" w:color="auto" w:fill="D9E2F3" w:themeFill="accent1" w:themeFillTint="33"/>
                <w:lang w:bidi="ar-SA"/>
              </w:rPr>
              <w:t>Strateško planiranje u funkciji upravljanja nekretninama u vlasništvu Republike Hrvatsk</w:t>
            </w:r>
            <w:r w:rsidRPr="005A0CC1">
              <w:rPr>
                <w:rFonts w:ascii="Times New Roman" w:eastAsia="Times New Roman" w:hAnsi="Times New Roman" w:cs="Times New Roman"/>
                <w:lang w:bidi="ar-SA"/>
              </w:rPr>
              <w:t>e</w:t>
            </w:r>
          </w:p>
        </w:tc>
        <w:tc>
          <w:tcPr>
            <w:tcW w:w="5386" w:type="dxa"/>
            <w:tcBorders>
              <w:top w:val="single" w:sz="4" w:space="0" w:color="auto"/>
              <w:left w:val="nil"/>
              <w:bottom w:val="single" w:sz="4" w:space="0" w:color="auto"/>
              <w:right w:val="single" w:sz="8" w:space="0" w:color="auto"/>
            </w:tcBorders>
            <w:shd w:val="clear" w:color="000000" w:fill="FFFFFF"/>
            <w:vAlign w:val="center"/>
            <w:hideMark/>
          </w:tcPr>
          <w:p w14:paraId="6155330D" w14:textId="77777777" w:rsidR="005A0CC1" w:rsidRPr="005A0CC1" w:rsidRDefault="005A0CC1" w:rsidP="005A0CC1">
            <w:pPr>
              <w:widowControl/>
              <w:jc w:val="both"/>
              <w:rPr>
                <w:rFonts w:ascii="Times New Roman" w:eastAsia="Times New Roman" w:hAnsi="Times New Roman" w:cs="Times New Roman"/>
                <w:lang w:bidi="ar-SA"/>
              </w:rPr>
            </w:pPr>
            <w:r w:rsidRPr="005A0CC1">
              <w:rPr>
                <w:rFonts w:ascii="Times New Roman" w:eastAsia="Times New Roman" w:hAnsi="Times New Roman" w:cs="Times New Roman"/>
                <w:lang w:bidi="ar-SA"/>
              </w:rPr>
              <w:t xml:space="preserve">Mjera predstavlja kontinuitet višegodišnjih aktivnosti u izradi akata strateškog planiranja i izvještajima o provedbi istih te njihovom doprinosu u provedbi povezanih hijerarhijski nadređenih akata strateškog planiranja. Uključuje izradu Nacrta prijedloga dugoročnih i kratkoročnih akata strateškog planiranja u području upravljanja nekretninama i pokretninama u vlasništvu Republike Hrvatske te njihovu usklađenost s aktima strateškog planiranja više hijerarhijske razine kao i aktima poput Nacionalnog srednjoročnog fiskalno-strukturnog plana Republike Hrvatske za razdoblje 2025.-2028.; pripremu sektorskog doprinosa u provedbi Nacionalne razvojne strategije Republike Hrvatske do 2030. godine </w:t>
            </w:r>
            <w:r w:rsidRPr="005A0CC1">
              <w:rPr>
                <w:rFonts w:ascii="Times New Roman" w:eastAsia="Times New Roman" w:hAnsi="Times New Roman" w:cs="Times New Roman"/>
                <w:color w:val="auto"/>
                <w:lang w:bidi="ar-SA"/>
              </w:rPr>
              <w:t>(„Narodne novine“ broj 13/21.)</w:t>
            </w:r>
          </w:p>
        </w:tc>
        <w:tc>
          <w:tcPr>
            <w:tcW w:w="222" w:type="dxa"/>
            <w:vAlign w:val="center"/>
            <w:hideMark/>
          </w:tcPr>
          <w:p w14:paraId="1C946FF6" w14:textId="77777777" w:rsidR="005A0CC1" w:rsidRPr="005A0CC1" w:rsidRDefault="005A0CC1" w:rsidP="005A0CC1">
            <w:pPr>
              <w:widowControl/>
              <w:rPr>
                <w:rFonts w:ascii="Times New Roman" w:eastAsia="Times New Roman" w:hAnsi="Times New Roman" w:cs="Times New Roman"/>
                <w:color w:val="auto"/>
                <w:sz w:val="20"/>
                <w:szCs w:val="20"/>
                <w:lang w:bidi="ar-SA"/>
              </w:rPr>
            </w:pPr>
          </w:p>
        </w:tc>
      </w:tr>
    </w:tbl>
    <w:p w14:paraId="32AA3D80" w14:textId="77777777" w:rsidR="005A0CC1" w:rsidRPr="005A0CC1" w:rsidRDefault="005A0CC1" w:rsidP="005A0CC1">
      <w:pPr>
        <w:jc w:val="both"/>
        <w:rPr>
          <w:rFonts w:ascii="Times New Roman" w:eastAsia="Times New Roman" w:hAnsi="Times New Roman" w:cs="Times New Roman"/>
          <w:b/>
          <w:bCs/>
        </w:rPr>
      </w:pPr>
    </w:p>
    <w:p w14:paraId="48061A43" w14:textId="77777777" w:rsidR="005A0CC1" w:rsidRPr="005A0CC1" w:rsidRDefault="005A0CC1" w:rsidP="005A0CC1">
      <w:pPr>
        <w:numPr>
          <w:ilvl w:val="0"/>
          <w:numId w:val="1"/>
        </w:numPr>
        <w:tabs>
          <w:tab w:val="left" w:pos="284"/>
        </w:tabs>
        <w:spacing w:after="240"/>
        <w:ind w:left="1418" w:hanging="851"/>
        <w:jc w:val="both"/>
        <w:rPr>
          <w:rFonts w:ascii="Times New Roman" w:eastAsia="Cambria" w:hAnsi="Times New Roman" w:cs="Times New Roman"/>
          <w:b/>
          <w:bCs/>
          <w:color w:val="auto"/>
          <w:kern w:val="2"/>
          <w:lang w:eastAsia="en-US" w:bidi="ar-SA"/>
          <w14:ligatures w14:val="standardContextual"/>
        </w:rPr>
      </w:pPr>
      <w:r w:rsidRPr="005A0CC1">
        <w:rPr>
          <w:rFonts w:ascii="Times New Roman" w:eastAsia="Cambria" w:hAnsi="Times New Roman" w:cs="Times New Roman"/>
          <w:b/>
          <w:bCs/>
          <w:color w:val="auto"/>
          <w:kern w:val="2"/>
          <w:lang w:eastAsia="en-US" w:bidi="ar-SA"/>
          <w14:ligatures w14:val="standardContextual"/>
        </w:rPr>
        <w:t>PLANIRANI PRIHODI OD UPRAVLJANJA NEKRETNINAMA I POKRETNINAMA U VLASNIŠTVU REPUBLIKE HRVATSKE</w:t>
      </w:r>
    </w:p>
    <w:p w14:paraId="2D2A501C" w14:textId="77777777" w:rsidR="005A0CC1" w:rsidRPr="005A0CC1" w:rsidRDefault="005A0CC1" w:rsidP="005A0CC1">
      <w:pPr>
        <w:rPr>
          <w:rFonts w:ascii="Times New Roman" w:eastAsia="Times New Roman" w:hAnsi="Times New Roman" w:cs="Times New Roman"/>
          <w:b/>
          <w:color w:val="auto"/>
        </w:rPr>
      </w:pPr>
    </w:p>
    <w:p w14:paraId="4B501EDC" w14:textId="77777777" w:rsidR="005A0CC1" w:rsidRPr="005A0CC1" w:rsidRDefault="005A0CC1" w:rsidP="005A0CC1">
      <w:pPr>
        <w:jc w:val="both"/>
        <w:rPr>
          <w:rFonts w:ascii="Times New Roman" w:eastAsia="Times New Roman" w:hAnsi="Times New Roman" w:cs="Times New Roman"/>
          <w:color w:val="auto"/>
        </w:rPr>
      </w:pPr>
      <w:r w:rsidRPr="005A0CC1">
        <w:rPr>
          <w:rFonts w:ascii="Times New Roman" w:eastAsia="Times New Roman" w:hAnsi="Times New Roman" w:cs="Times New Roman"/>
          <w:color w:val="auto"/>
        </w:rPr>
        <w:t xml:space="preserve"> </w:t>
      </w:r>
      <w:r w:rsidRPr="005A0CC1">
        <w:rPr>
          <w:rFonts w:ascii="Times New Roman" w:eastAsia="Times New Roman" w:hAnsi="Times New Roman" w:cs="Times New Roman"/>
          <w:color w:val="auto"/>
        </w:rPr>
        <w:tab/>
        <w:t xml:space="preserve">Za 2026. godinu planirani su ukupni prihodi od upravljanja nekretninama i pokretninama u vlasništvu Republike Hrvatske u iznosu od </w:t>
      </w:r>
      <w:r w:rsidRPr="005A0CC1">
        <w:rPr>
          <w:rFonts w:ascii="Times New Roman" w:eastAsia="Times New Roman" w:hAnsi="Times New Roman" w:cs="Times New Roman"/>
          <w:color w:val="auto"/>
          <w:lang w:bidi="ar-SA"/>
        </w:rPr>
        <w:t xml:space="preserve">75.396.059,00 </w:t>
      </w:r>
      <w:r w:rsidRPr="005A0CC1">
        <w:rPr>
          <w:rFonts w:ascii="Times New Roman" w:eastAsia="Times New Roman" w:hAnsi="Times New Roman" w:cs="Times New Roman"/>
          <w:color w:val="auto"/>
        </w:rPr>
        <w:t>eura.</w:t>
      </w:r>
    </w:p>
    <w:p w14:paraId="5BBCABD9" w14:textId="77777777" w:rsidR="005A0CC1" w:rsidRPr="005A0CC1" w:rsidRDefault="005A0CC1" w:rsidP="005A0CC1">
      <w:pPr>
        <w:jc w:val="both"/>
        <w:rPr>
          <w:rFonts w:ascii="Times New Roman" w:eastAsia="Times New Roman" w:hAnsi="Times New Roman" w:cs="Times New Roman"/>
          <w:color w:val="auto"/>
        </w:rPr>
      </w:pPr>
    </w:p>
    <w:p w14:paraId="70197A12" w14:textId="77777777" w:rsidR="005A0CC1" w:rsidRPr="005A0CC1" w:rsidRDefault="005A0CC1" w:rsidP="005A0CC1">
      <w:pPr>
        <w:jc w:val="both"/>
        <w:rPr>
          <w:rFonts w:ascii="Times New Roman" w:eastAsia="Times New Roman" w:hAnsi="Times New Roman" w:cs="Times New Roman"/>
          <w:color w:val="auto"/>
        </w:rPr>
      </w:pPr>
      <w:r w:rsidRPr="005A0CC1">
        <w:rPr>
          <w:rFonts w:ascii="Times New Roman" w:eastAsia="Times New Roman" w:hAnsi="Times New Roman" w:cs="Times New Roman"/>
          <w:color w:val="auto"/>
        </w:rPr>
        <w:t xml:space="preserve"> </w:t>
      </w:r>
      <w:r w:rsidRPr="005A0CC1">
        <w:rPr>
          <w:rFonts w:ascii="Times New Roman" w:eastAsia="Times New Roman" w:hAnsi="Times New Roman" w:cs="Times New Roman"/>
          <w:color w:val="auto"/>
        </w:rPr>
        <w:tab/>
        <w:t>U nastavku slijedi tablica 4.1. s prikazom planiranih prihoda od upravljanja nekretninama i pokretninama u vlasništvu Republike Hrvatske.</w:t>
      </w:r>
    </w:p>
    <w:p w14:paraId="1C6D075E" w14:textId="77777777" w:rsidR="005A0CC1" w:rsidRPr="005A0CC1" w:rsidRDefault="005A0CC1" w:rsidP="005A0CC1">
      <w:pPr>
        <w:rPr>
          <w:rFonts w:ascii="Times New Roman" w:eastAsia="Times New Roman" w:hAnsi="Times New Roman" w:cs="Times New Roman"/>
          <w:b/>
          <w:bCs/>
          <w:color w:val="auto"/>
        </w:rPr>
      </w:pPr>
    </w:p>
    <w:p w14:paraId="1DC05A52" w14:textId="77777777" w:rsidR="005A0CC1" w:rsidRPr="005A0CC1" w:rsidRDefault="005A0CC1" w:rsidP="005A0CC1">
      <w:pPr>
        <w:rPr>
          <w:rFonts w:ascii="Times New Roman" w:eastAsia="Times New Roman" w:hAnsi="Times New Roman" w:cs="Times New Roman"/>
          <w:b/>
          <w:bCs/>
          <w:color w:val="auto"/>
        </w:rPr>
      </w:pPr>
      <w:r w:rsidRPr="005A0CC1">
        <w:rPr>
          <w:rFonts w:ascii="Times New Roman" w:eastAsia="Times New Roman" w:hAnsi="Times New Roman" w:cs="Times New Roman"/>
          <w:b/>
          <w:bCs/>
          <w:color w:val="auto"/>
        </w:rPr>
        <w:t>Tablica 4.1. Prikaz planiranih prihoda od upravljanja nekretninama i pokretninama u vlasništvu Republike Hrvatske</w:t>
      </w:r>
    </w:p>
    <w:p w14:paraId="7755C5F7" w14:textId="77777777" w:rsidR="005A0CC1" w:rsidRPr="005A0CC1" w:rsidRDefault="005A0CC1" w:rsidP="005A0CC1">
      <w:pPr>
        <w:rPr>
          <w:rFonts w:ascii="Times New Roman" w:eastAsia="Times New Roman" w:hAnsi="Times New Roman" w:cs="Times New Roman"/>
          <w:b/>
          <w:bCs/>
          <w:color w:val="auto"/>
        </w:rPr>
      </w:pPr>
    </w:p>
    <w:tbl>
      <w:tblPr>
        <w:tblW w:w="891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6761"/>
        <w:gridCol w:w="2155"/>
      </w:tblGrid>
      <w:tr w:rsidR="005A0CC1" w:rsidRPr="005A0CC1" w14:paraId="2828953D" w14:textId="77777777" w:rsidTr="001C7DE3">
        <w:trPr>
          <w:trHeight w:val="541"/>
        </w:trPr>
        <w:tc>
          <w:tcPr>
            <w:tcW w:w="6761" w:type="dxa"/>
            <w:shd w:val="clear" w:color="000000" w:fill="B4C6E7"/>
            <w:vAlign w:val="center"/>
            <w:hideMark/>
          </w:tcPr>
          <w:p w14:paraId="30988E31" w14:textId="77777777" w:rsidR="005A0CC1" w:rsidRPr="005A0CC1" w:rsidRDefault="005A0CC1" w:rsidP="005A0CC1">
            <w:pPr>
              <w:jc w:val="center"/>
              <w:rPr>
                <w:rFonts w:ascii="Times New Roman" w:eastAsia="Times New Roman" w:hAnsi="Times New Roman" w:cs="Times New Roman"/>
                <w:b/>
                <w:bCs/>
                <w:color w:val="auto"/>
              </w:rPr>
            </w:pPr>
            <w:r w:rsidRPr="005A0CC1">
              <w:rPr>
                <w:rFonts w:ascii="Times New Roman" w:eastAsia="Times New Roman" w:hAnsi="Times New Roman" w:cs="Times New Roman"/>
                <w:b/>
                <w:bCs/>
                <w:color w:val="auto"/>
              </w:rPr>
              <w:t>VRSTA PRIHODA</w:t>
            </w:r>
          </w:p>
        </w:tc>
        <w:tc>
          <w:tcPr>
            <w:tcW w:w="2155" w:type="dxa"/>
            <w:shd w:val="clear" w:color="000000" w:fill="B4C6E7"/>
            <w:vAlign w:val="center"/>
            <w:hideMark/>
          </w:tcPr>
          <w:p w14:paraId="6793B235" w14:textId="77777777" w:rsidR="005A0CC1" w:rsidRPr="005A0CC1" w:rsidRDefault="005A0CC1" w:rsidP="005A0CC1">
            <w:pPr>
              <w:jc w:val="center"/>
              <w:rPr>
                <w:rFonts w:ascii="Times New Roman" w:eastAsia="Times New Roman" w:hAnsi="Times New Roman" w:cs="Times New Roman"/>
                <w:b/>
                <w:bCs/>
                <w:color w:val="auto"/>
              </w:rPr>
            </w:pPr>
            <w:r w:rsidRPr="005A0CC1">
              <w:rPr>
                <w:rFonts w:ascii="Times New Roman" w:eastAsia="Times New Roman" w:hAnsi="Times New Roman" w:cs="Times New Roman"/>
                <w:b/>
                <w:bCs/>
                <w:color w:val="auto"/>
              </w:rPr>
              <w:t>CILJANA VRIJEDNOST 2026.</w:t>
            </w:r>
          </w:p>
        </w:tc>
      </w:tr>
      <w:tr w:rsidR="005A0CC1" w:rsidRPr="005A0CC1" w14:paraId="641CAC0E" w14:textId="77777777" w:rsidTr="001C7DE3">
        <w:trPr>
          <w:trHeight w:val="1109"/>
        </w:trPr>
        <w:tc>
          <w:tcPr>
            <w:tcW w:w="6761" w:type="dxa"/>
            <w:shd w:val="clear" w:color="000000" w:fill="D9E2F3"/>
            <w:vAlign w:val="center"/>
            <w:hideMark/>
          </w:tcPr>
          <w:p w14:paraId="37F213E9" w14:textId="77777777" w:rsidR="005A0CC1" w:rsidRPr="005A0CC1" w:rsidRDefault="005A0CC1" w:rsidP="005A0CC1">
            <w:pPr>
              <w:rPr>
                <w:rFonts w:ascii="Times New Roman" w:eastAsia="Times New Roman" w:hAnsi="Times New Roman" w:cs="Times New Roman"/>
                <w:i/>
                <w:iCs/>
                <w:color w:val="auto"/>
              </w:rPr>
            </w:pPr>
            <w:r w:rsidRPr="005A0CC1">
              <w:rPr>
                <w:rFonts w:ascii="Times New Roman" w:eastAsia="Times New Roman" w:hAnsi="Times New Roman" w:cs="Times New Roman"/>
                <w:i/>
                <w:iCs/>
                <w:color w:val="auto"/>
              </w:rPr>
              <w:t>1. Prihodi od raspolaganja nekretninama i pokretninama u vlasništvu Republike Hrvatske temeljem Zakona o upravljanju nekretninama i pokretninama u vlasništvu Republike Hrvatske</w:t>
            </w:r>
          </w:p>
        </w:tc>
        <w:tc>
          <w:tcPr>
            <w:tcW w:w="2155" w:type="dxa"/>
            <w:noWrap/>
            <w:vAlign w:val="center"/>
            <w:hideMark/>
          </w:tcPr>
          <w:p w14:paraId="5CF2A7D0" w14:textId="77777777" w:rsidR="005A0CC1" w:rsidRPr="005A0CC1" w:rsidRDefault="005A0CC1" w:rsidP="005A0CC1">
            <w:pPr>
              <w:jc w:val="right"/>
              <w:rPr>
                <w:rFonts w:ascii="Times New Roman" w:eastAsia="Times New Roman" w:hAnsi="Times New Roman" w:cs="Times New Roman"/>
                <w:b/>
                <w:bCs/>
                <w:i/>
                <w:iCs/>
                <w:color w:val="auto"/>
              </w:rPr>
            </w:pPr>
            <w:r w:rsidRPr="005A0CC1">
              <w:rPr>
                <w:rFonts w:ascii="Times New Roman" w:eastAsia="Times New Roman" w:hAnsi="Times New Roman" w:cs="Times New Roman"/>
                <w:b/>
                <w:bCs/>
                <w:i/>
                <w:iCs/>
                <w:color w:val="auto"/>
              </w:rPr>
              <w:t>60.396.059,00</w:t>
            </w:r>
          </w:p>
        </w:tc>
      </w:tr>
      <w:tr w:rsidR="005A0CC1" w:rsidRPr="005A0CC1" w14:paraId="2E27F9DA" w14:textId="77777777" w:rsidTr="001C7DE3">
        <w:trPr>
          <w:trHeight w:val="449"/>
        </w:trPr>
        <w:tc>
          <w:tcPr>
            <w:tcW w:w="6761" w:type="dxa"/>
            <w:shd w:val="clear" w:color="000000" w:fill="D9E2F3"/>
            <w:vAlign w:val="center"/>
            <w:hideMark/>
          </w:tcPr>
          <w:p w14:paraId="3B017897"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1.1. Prihodi državnog proračuna</w:t>
            </w:r>
          </w:p>
        </w:tc>
        <w:tc>
          <w:tcPr>
            <w:tcW w:w="2155" w:type="dxa"/>
            <w:noWrap/>
            <w:vAlign w:val="center"/>
            <w:hideMark/>
          </w:tcPr>
          <w:p w14:paraId="427C1B16"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24.318.329,00</w:t>
            </w:r>
          </w:p>
        </w:tc>
      </w:tr>
      <w:tr w:rsidR="005A0CC1" w:rsidRPr="005A0CC1" w14:paraId="18C36959" w14:textId="77777777" w:rsidTr="001C7DE3">
        <w:trPr>
          <w:trHeight w:val="449"/>
        </w:trPr>
        <w:tc>
          <w:tcPr>
            <w:tcW w:w="6761" w:type="dxa"/>
            <w:shd w:val="clear" w:color="000000" w:fill="D9E2F3"/>
            <w:vAlign w:val="center"/>
            <w:hideMark/>
          </w:tcPr>
          <w:p w14:paraId="4EA8F863"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1.2. Prihodi proračuna županija</w:t>
            </w:r>
          </w:p>
        </w:tc>
        <w:tc>
          <w:tcPr>
            <w:tcW w:w="2155" w:type="dxa"/>
            <w:noWrap/>
            <w:vAlign w:val="center"/>
            <w:hideMark/>
          </w:tcPr>
          <w:p w14:paraId="434DBFC9"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3.797.141,00</w:t>
            </w:r>
          </w:p>
        </w:tc>
      </w:tr>
      <w:tr w:rsidR="005A0CC1" w:rsidRPr="005A0CC1" w14:paraId="49BE4B65" w14:textId="77777777" w:rsidTr="001C7DE3">
        <w:trPr>
          <w:trHeight w:val="449"/>
        </w:trPr>
        <w:tc>
          <w:tcPr>
            <w:tcW w:w="6761" w:type="dxa"/>
            <w:shd w:val="clear" w:color="000000" w:fill="D9E2F3"/>
            <w:vAlign w:val="center"/>
            <w:hideMark/>
          </w:tcPr>
          <w:p w14:paraId="1BAD4151"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1.3. Prihodi proračuna jedinica lokalne samouprave</w:t>
            </w:r>
          </w:p>
        </w:tc>
        <w:tc>
          <w:tcPr>
            <w:tcW w:w="2155" w:type="dxa"/>
            <w:noWrap/>
            <w:vAlign w:val="center"/>
            <w:hideMark/>
          </w:tcPr>
          <w:p w14:paraId="60AF8CED"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3.797.141,00</w:t>
            </w:r>
          </w:p>
        </w:tc>
      </w:tr>
      <w:tr w:rsidR="005A0CC1" w:rsidRPr="005A0CC1" w14:paraId="656CDC88" w14:textId="77777777" w:rsidTr="001C7DE3">
        <w:trPr>
          <w:trHeight w:val="449"/>
        </w:trPr>
        <w:tc>
          <w:tcPr>
            <w:tcW w:w="6761" w:type="dxa"/>
            <w:shd w:val="clear" w:color="000000" w:fill="D9E2F3"/>
            <w:vAlign w:val="center"/>
            <w:hideMark/>
          </w:tcPr>
          <w:p w14:paraId="245F3FBA"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1.4. Prihodi trgovačkog društva DN d.o.o.</w:t>
            </w:r>
          </w:p>
        </w:tc>
        <w:tc>
          <w:tcPr>
            <w:tcW w:w="2155" w:type="dxa"/>
            <w:noWrap/>
            <w:vAlign w:val="center"/>
            <w:hideMark/>
          </w:tcPr>
          <w:p w14:paraId="751C9AD5"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28.483.448,00</w:t>
            </w:r>
          </w:p>
        </w:tc>
      </w:tr>
      <w:tr w:rsidR="005A0CC1" w:rsidRPr="005A0CC1" w14:paraId="3C52FE90" w14:textId="77777777" w:rsidTr="001C7DE3">
        <w:trPr>
          <w:trHeight w:val="1109"/>
        </w:trPr>
        <w:tc>
          <w:tcPr>
            <w:tcW w:w="6761" w:type="dxa"/>
            <w:shd w:val="clear" w:color="000000" w:fill="D9E2F3"/>
            <w:vAlign w:val="center"/>
            <w:hideMark/>
          </w:tcPr>
          <w:p w14:paraId="1C5530B0" w14:textId="77777777" w:rsidR="005A0CC1" w:rsidRPr="005A0CC1" w:rsidRDefault="005A0CC1" w:rsidP="005A0CC1">
            <w:pPr>
              <w:rPr>
                <w:rFonts w:ascii="Times New Roman" w:eastAsia="Times New Roman" w:hAnsi="Times New Roman" w:cs="Times New Roman"/>
                <w:i/>
                <w:iCs/>
                <w:color w:val="auto"/>
              </w:rPr>
            </w:pPr>
            <w:r w:rsidRPr="005A0CC1">
              <w:rPr>
                <w:rFonts w:ascii="Times New Roman" w:eastAsia="Times New Roman" w:hAnsi="Times New Roman" w:cs="Times New Roman"/>
                <w:i/>
                <w:iCs/>
                <w:color w:val="auto"/>
              </w:rPr>
              <w:t>2. Prihodi od raspolaganja nekretninama u vlasništvu Republike Hrvatske temeljem Zakona o neprocijenjenom građevinskom zemljištu</w:t>
            </w:r>
          </w:p>
        </w:tc>
        <w:tc>
          <w:tcPr>
            <w:tcW w:w="2155" w:type="dxa"/>
            <w:shd w:val="clear" w:color="000000" w:fill="FFFFFF"/>
            <w:vAlign w:val="center"/>
            <w:hideMark/>
          </w:tcPr>
          <w:p w14:paraId="0B399D44" w14:textId="77777777" w:rsidR="005A0CC1" w:rsidRPr="005A0CC1" w:rsidRDefault="005A0CC1" w:rsidP="005A0CC1">
            <w:pPr>
              <w:jc w:val="right"/>
              <w:rPr>
                <w:rFonts w:ascii="Times New Roman" w:eastAsia="Times New Roman" w:hAnsi="Times New Roman" w:cs="Times New Roman"/>
                <w:b/>
                <w:bCs/>
                <w:i/>
                <w:iCs/>
                <w:color w:val="auto"/>
              </w:rPr>
            </w:pPr>
            <w:r w:rsidRPr="005A0CC1">
              <w:rPr>
                <w:rFonts w:ascii="Times New Roman" w:eastAsia="Times New Roman" w:hAnsi="Times New Roman" w:cs="Times New Roman"/>
                <w:b/>
                <w:bCs/>
                <w:i/>
                <w:iCs/>
                <w:color w:val="auto"/>
              </w:rPr>
              <w:t>15.000.000,00</w:t>
            </w:r>
          </w:p>
        </w:tc>
      </w:tr>
      <w:tr w:rsidR="005A0CC1" w:rsidRPr="005A0CC1" w14:paraId="6F2A7C8A" w14:textId="77777777" w:rsidTr="001C7DE3">
        <w:trPr>
          <w:trHeight w:val="449"/>
        </w:trPr>
        <w:tc>
          <w:tcPr>
            <w:tcW w:w="6761" w:type="dxa"/>
            <w:shd w:val="clear" w:color="000000" w:fill="D9E2F3"/>
            <w:vAlign w:val="center"/>
            <w:hideMark/>
          </w:tcPr>
          <w:p w14:paraId="56FCB161"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2.1. Prihodi državnog proračuna</w:t>
            </w:r>
          </w:p>
        </w:tc>
        <w:tc>
          <w:tcPr>
            <w:tcW w:w="2155" w:type="dxa"/>
            <w:shd w:val="clear" w:color="000000" w:fill="FFFFFF"/>
            <w:vAlign w:val="center"/>
            <w:hideMark/>
          </w:tcPr>
          <w:p w14:paraId="372DB2A0"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10.500.000,00</w:t>
            </w:r>
          </w:p>
        </w:tc>
      </w:tr>
      <w:tr w:rsidR="005A0CC1" w:rsidRPr="005A0CC1" w14:paraId="5C589571" w14:textId="77777777" w:rsidTr="001C7DE3">
        <w:trPr>
          <w:trHeight w:val="449"/>
        </w:trPr>
        <w:tc>
          <w:tcPr>
            <w:tcW w:w="6761" w:type="dxa"/>
            <w:shd w:val="clear" w:color="000000" w:fill="D9E2F3"/>
            <w:vAlign w:val="center"/>
            <w:hideMark/>
          </w:tcPr>
          <w:p w14:paraId="4BF8A0DC"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2.2. Prihodi proračuna županija</w:t>
            </w:r>
          </w:p>
        </w:tc>
        <w:tc>
          <w:tcPr>
            <w:tcW w:w="2155" w:type="dxa"/>
            <w:shd w:val="clear" w:color="000000" w:fill="FFFFFF"/>
            <w:vAlign w:val="center"/>
            <w:hideMark/>
          </w:tcPr>
          <w:p w14:paraId="1C3FF2F6"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1.500.000,00</w:t>
            </w:r>
          </w:p>
        </w:tc>
      </w:tr>
      <w:tr w:rsidR="005A0CC1" w:rsidRPr="005A0CC1" w14:paraId="36BB99CD" w14:textId="77777777" w:rsidTr="001C7DE3">
        <w:trPr>
          <w:trHeight w:val="449"/>
        </w:trPr>
        <w:tc>
          <w:tcPr>
            <w:tcW w:w="6761" w:type="dxa"/>
            <w:shd w:val="clear" w:color="000000" w:fill="D9E2F3"/>
            <w:vAlign w:val="center"/>
            <w:hideMark/>
          </w:tcPr>
          <w:p w14:paraId="4D69F43B" w14:textId="77777777" w:rsidR="005A0CC1" w:rsidRPr="005A0CC1" w:rsidRDefault="005A0CC1" w:rsidP="005A0CC1">
            <w:pPr>
              <w:rPr>
                <w:rFonts w:ascii="Times New Roman" w:eastAsia="Times New Roman" w:hAnsi="Times New Roman" w:cs="Times New Roman"/>
                <w:color w:val="auto"/>
              </w:rPr>
            </w:pPr>
            <w:r w:rsidRPr="005A0CC1">
              <w:rPr>
                <w:rFonts w:ascii="Times New Roman" w:eastAsia="Times New Roman" w:hAnsi="Times New Roman" w:cs="Times New Roman"/>
                <w:color w:val="auto"/>
              </w:rPr>
              <w:t>2.3. Prihodi proračuna jedinica lokalne samouprave</w:t>
            </w:r>
          </w:p>
        </w:tc>
        <w:tc>
          <w:tcPr>
            <w:tcW w:w="2155" w:type="dxa"/>
            <w:shd w:val="clear" w:color="000000" w:fill="FFFFFF"/>
            <w:vAlign w:val="center"/>
            <w:hideMark/>
          </w:tcPr>
          <w:p w14:paraId="74CB4FA6" w14:textId="77777777" w:rsidR="005A0CC1" w:rsidRPr="005A0CC1" w:rsidRDefault="005A0CC1" w:rsidP="005A0CC1">
            <w:pPr>
              <w:jc w:val="right"/>
              <w:rPr>
                <w:rFonts w:ascii="Times New Roman" w:eastAsia="Times New Roman" w:hAnsi="Times New Roman" w:cs="Times New Roman"/>
                <w:color w:val="auto"/>
              </w:rPr>
            </w:pPr>
            <w:r w:rsidRPr="005A0CC1">
              <w:rPr>
                <w:rFonts w:ascii="Times New Roman" w:eastAsia="Times New Roman" w:hAnsi="Times New Roman" w:cs="Times New Roman"/>
                <w:color w:val="auto"/>
              </w:rPr>
              <w:t>3.000.000,00</w:t>
            </w:r>
          </w:p>
        </w:tc>
      </w:tr>
      <w:tr w:rsidR="005A0CC1" w:rsidRPr="005A0CC1" w14:paraId="228B6810" w14:textId="77777777" w:rsidTr="001C7DE3">
        <w:trPr>
          <w:trHeight w:val="676"/>
        </w:trPr>
        <w:tc>
          <w:tcPr>
            <w:tcW w:w="6761" w:type="dxa"/>
            <w:shd w:val="clear" w:color="000000" w:fill="B4C6E7"/>
            <w:vAlign w:val="center"/>
            <w:hideMark/>
          </w:tcPr>
          <w:p w14:paraId="5608291C" w14:textId="77777777" w:rsidR="005A0CC1" w:rsidRPr="005A0CC1" w:rsidRDefault="005A0CC1" w:rsidP="005A0CC1">
            <w:pPr>
              <w:rPr>
                <w:rFonts w:ascii="Times New Roman" w:eastAsia="Times New Roman" w:hAnsi="Times New Roman" w:cs="Times New Roman"/>
                <w:b/>
                <w:bCs/>
                <w:i/>
                <w:iCs/>
                <w:color w:val="auto"/>
              </w:rPr>
            </w:pPr>
            <w:r w:rsidRPr="005A0CC1">
              <w:rPr>
                <w:rFonts w:ascii="Times New Roman" w:eastAsia="Times New Roman" w:hAnsi="Times New Roman" w:cs="Times New Roman"/>
                <w:b/>
                <w:bCs/>
                <w:i/>
                <w:iCs/>
                <w:color w:val="auto"/>
              </w:rPr>
              <w:t>Ukupni prihodi (1+2)</w:t>
            </w:r>
          </w:p>
        </w:tc>
        <w:tc>
          <w:tcPr>
            <w:tcW w:w="2155" w:type="dxa"/>
            <w:shd w:val="clear" w:color="000000" w:fill="B4C6E7"/>
            <w:vAlign w:val="center"/>
            <w:hideMark/>
          </w:tcPr>
          <w:p w14:paraId="121DF6A2" w14:textId="77777777" w:rsidR="005A0CC1" w:rsidRPr="005A0CC1" w:rsidRDefault="005A0CC1" w:rsidP="005A0CC1">
            <w:pPr>
              <w:jc w:val="right"/>
              <w:rPr>
                <w:rFonts w:ascii="Times New Roman" w:eastAsia="Times New Roman" w:hAnsi="Times New Roman" w:cs="Times New Roman"/>
                <w:b/>
                <w:bCs/>
                <w:i/>
                <w:iCs/>
                <w:color w:val="auto"/>
              </w:rPr>
            </w:pPr>
            <w:r w:rsidRPr="005A0CC1">
              <w:rPr>
                <w:rFonts w:ascii="Times New Roman" w:eastAsia="Times New Roman" w:hAnsi="Times New Roman" w:cs="Times New Roman"/>
                <w:b/>
                <w:bCs/>
                <w:i/>
                <w:iCs/>
                <w:color w:val="auto"/>
              </w:rPr>
              <w:t>75.396.059,00</w:t>
            </w:r>
          </w:p>
        </w:tc>
      </w:tr>
    </w:tbl>
    <w:p w14:paraId="59240507" w14:textId="77777777" w:rsidR="005A0CC1" w:rsidRPr="005A0CC1" w:rsidRDefault="005A0CC1" w:rsidP="005A0CC1">
      <w:pPr>
        <w:rPr>
          <w:rFonts w:ascii="Times New Roman" w:hAnsi="Times New Roman" w:cs="Times New Roman"/>
          <w:color w:val="auto"/>
          <w:sz w:val="16"/>
          <w:szCs w:val="16"/>
        </w:rPr>
      </w:pPr>
    </w:p>
    <w:p w14:paraId="55E1C7DD" w14:textId="77777777" w:rsidR="005A0CC1" w:rsidRPr="005A0CC1" w:rsidRDefault="005A0CC1" w:rsidP="005A0CC1">
      <w:pPr>
        <w:rPr>
          <w:rFonts w:ascii="Times New Roman" w:hAnsi="Times New Roman" w:cs="Times New Roman"/>
          <w:color w:val="auto"/>
          <w:sz w:val="16"/>
          <w:szCs w:val="16"/>
        </w:rPr>
      </w:pPr>
    </w:p>
    <w:p w14:paraId="51BD5FD2" w14:textId="77777777" w:rsidR="005A0CC1" w:rsidRPr="005A0CC1" w:rsidRDefault="005A0CC1" w:rsidP="005A0CC1">
      <w:pPr>
        <w:rPr>
          <w:rFonts w:ascii="Times New Roman" w:hAnsi="Times New Roman" w:cs="Times New Roman"/>
          <w:color w:val="auto"/>
          <w:sz w:val="16"/>
          <w:szCs w:val="16"/>
        </w:rPr>
      </w:pPr>
    </w:p>
    <w:p w14:paraId="6911E2C3" w14:textId="77777777" w:rsidR="005A0CC1" w:rsidRPr="005A0CC1" w:rsidRDefault="005A0CC1" w:rsidP="005A0CC1">
      <w:pPr>
        <w:rPr>
          <w:rFonts w:ascii="Times New Roman" w:hAnsi="Times New Roman" w:cs="Times New Roman"/>
          <w:color w:val="auto"/>
          <w:sz w:val="16"/>
          <w:szCs w:val="16"/>
        </w:rPr>
      </w:pPr>
    </w:p>
    <w:p w14:paraId="6E354D1F" w14:textId="77777777" w:rsidR="005A0CC1" w:rsidRPr="005A0CC1" w:rsidRDefault="005A0CC1" w:rsidP="005A0CC1">
      <w:pPr>
        <w:rPr>
          <w:rFonts w:ascii="Times New Roman" w:hAnsi="Times New Roman" w:cs="Times New Roman"/>
          <w:sz w:val="16"/>
          <w:szCs w:val="16"/>
        </w:rPr>
        <w:sectPr w:rsidR="005A0CC1" w:rsidRPr="005A0CC1" w:rsidSect="005A0CC1">
          <w:headerReference w:type="default" r:id="rId16"/>
          <w:footerReference w:type="default" r:id="rId17"/>
          <w:pgSz w:w="11900" w:h="16840"/>
          <w:pgMar w:top="1418" w:right="1418" w:bottom="1418" w:left="1418" w:header="557" w:footer="567" w:gutter="0"/>
          <w:cols w:space="720"/>
        </w:sectPr>
      </w:pPr>
    </w:p>
    <w:p w14:paraId="0DDC88E3" w14:textId="77777777" w:rsidR="005A0CC1" w:rsidRPr="005A0CC1" w:rsidRDefault="005A0CC1" w:rsidP="005A0CC1">
      <w:pPr>
        <w:widowControl/>
        <w:spacing w:after="160" w:line="259" w:lineRule="auto"/>
        <w:jc w:val="center"/>
        <w:rPr>
          <w:rFonts w:ascii="Times New Roman" w:eastAsia="Aptos" w:hAnsi="Times New Roman" w:cs="Times New Roman"/>
          <w:b/>
          <w:bCs/>
          <w:color w:val="auto"/>
          <w:kern w:val="2"/>
          <w:lang w:eastAsia="en-US" w:bidi="ar-SA"/>
          <w14:ligatures w14:val="standardContextual"/>
        </w:rPr>
      </w:pPr>
      <w:r w:rsidRPr="005A0CC1">
        <w:rPr>
          <w:rFonts w:ascii="Times New Roman" w:eastAsia="Aptos" w:hAnsi="Times New Roman" w:cs="Times New Roman"/>
          <w:b/>
          <w:bCs/>
          <w:color w:val="auto"/>
          <w:kern w:val="2"/>
          <w:lang w:eastAsia="en-US" w:bidi="ar-SA"/>
          <w14:ligatures w14:val="standardContextual"/>
        </w:rPr>
        <w:lastRenderedPageBreak/>
        <w:t>PRILOG I.</w:t>
      </w:r>
    </w:p>
    <w:p w14:paraId="607C3239" w14:textId="77777777" w:rsidR="005A0CC1" w:rsidRPr="005A0CC1" w:rsidRDefault="005A0CC1" w:rsidP="005A0CC1">
      <w:pPr>
        <w:widowControl/>
        <w:spacing w:after="160" w:line="259" w:lineRule="auto"/>
        <w:jc w:val="center"/>
        <w:rPr>
          <w:rFonts w:ascii="Times New Roman" w:eastAsia="Aptos" w:hAnsi="Times New Roman" w:cs="Times New Roman"/>
          <w:b/>
          <w:bCs/>
          <w:color w:val="auto"/>
          <w:kern w:val="2"/>
          <w:lang w:eastAsia="en-US" w:bidi="ar-SA"/>
          <w14:ligatures w14:val="standardContextual"/>
        </w:rPr>
      </w:pPr>
      <w:r w:rsidRPr="005A0CC1">
        <w:rPr>
          <w:rFonts w:ascii="Times New Roman" w:eastAsia="Aptos" w:hAnsi="Times New Roman" w:cs="Times New Roman"/>
          <w:b/>
          <w:bCs/>
          <w:color w:val="auto"/>
          <w:kern w:val="2"/>
          <w:lang w:eastAsia="en-US" w:bidi="ar-SA"/>
          <w14:ligatures w14:val="standardContextual"/>
        </w:rPr>
        <w:t>TABLIČNI PRIKAZ MJERA I AKTIVNOSTI IZ GODIŠNJEG PLANA</w:t>
      </w:r>
    </w:p>
    <w:tbl>
      <w:tblPr>
        <w:tblStyle w:val="Reetkatablice2"/>
        <w:tblW w:w="14003" w:type="dxa"/>
        <w:tblLook w:val="04A0" w:firstRow="1" w:lastRow="0" w:firstColumn="1" w:lastColumn="0" w:noHBand="0" w:noVBand="1"/>
      </w:tblPr>
      <w:tblGrid>
        <w:gridCol w:w="1722"/>
        <w:gridCol w:w="1766"/>
        <w:gridCol w:w="1502"/>
        <w:gridCol w:w="1502"/>
        <w:gridCol w:w="1689"/>
        <w:gridCol w:w="5813"/>
        <w:gridCol w:w="9"/>
      </w:tblGrid>
      <w:tr w:rsidR="005A0CC1" w:rsidRPr="005A0CC1" w14:paraId="75ED94C7" w14:textId="77777777" w:rsidTr="001C7DE3">
        <w:trPr>
          <w:trHeight w:val="673"/>
        </w:trPr>
        <w:tc>
          <w:tcPr>
            <w:tcW w:w="14003" w:type="dxa"/>
            <w:gridSpan w:val="7"/>
            <w:shd w:val="clear" w:color="auto" w:fill="B4C6E7" w:themeFill="accent1" w:themeFillTint="66"/>
          </w:tcPr>
          <w:p w14:paraId="179F92AB"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1: Učinkovito upravljanje nekretninama od strateškog značaja za Republiku Hrvatsku</w:t>
            </w:r>
          </w:p>
          <w:p w14:paraId="5FCA7B6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1.1. Uvođenje projektnog pristupa upravljanja nekretninama od strateškog značaja za Republiku Hrvatsku</w:t>
            </w:r>
          </w:p>
        </w:tc>
      </w:tr>
      <w:tr w:rsidR="005A0CC1" w:rsidRPr="005A0CC1" w14:paraId="1FA085C1" w14:textId="77777777" w:rsidTr="001C7DE3">
        <w:trPr>
          <w:gridAfter w:val="1"/>
          <w:wAfter w:w="9" w:type="dxa"/>
          <w:trHeight w:val="910"/>
        </w:trPr>
        <w:tc>
          <w:tcPr>
            <w:tcW w:w="1722" w:type="dxa"/>
            <w:shd w:val="clear" w:color="auto" w:fill="B4C6E7" w:themeFill="accent1" w:themeFillTint="66"/>
            <w:vAlign w:val="center"/>
            <w:hideMark/>
          </w:tcPr>
          <w:p w14:paraId="36719F7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4000485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766" w:type="dxa"/>
            <w:shd w:val="clear" w:color="auto" w:fill="B4C6E7" w:themeFill="accent1" w:themeFillTint="66"/>
            <w:vAlign w:val="center"/>
            <w:hideMark/>
          </w:tcPr>
          <w:p w14:paraId="65E4FC5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502" w:type="dxa"/>
            <w:shd w:val="clear" w:color="auto" w:fill="B4C6E7" w:themeFill="accent1" w:themeFillTint="66"/>
            <w:vAlign w:val="center"/>
            <w:hideMark/>
          </w:tcPr>
          <w:p w14:paraId="1CB1664E"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502" w:type="dxa"/>
            <w:shd w:val="clear" w:color="auto" w:fill="B4C6E7" w:themeFill="accent1" w:themeFillTint="66"/>
            <w:vAlign w:val="center"/>
            <w:hideMark/>
          </w:tcPr>
          <w:p w14:paraId="5CAE89D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689" w:type="dxa"/>
            <w:shd w:val="clear" w:color="auto" w:fill="B4C6E7" w:themeFill="accent1" w:themeFillTint="66"/>
            <w:vAlign w:val="center"/>
          </w:tcPr>
          <w:p w14:paraId="2EEBC0B9"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c>
          <w:tcPr>
            <w:tcW w:w="5813" w:type="dxa"/>
            <w:shd w:val="clear" w:color="auto" w:fill="B4C6E7" w:themeFill="accent1" w:themeFillTint="66"/>
            <w:vAlign w:val="center"/>
            <w:hideMark/>
          </w:tcPr>
          <w:p w14:paraId="254D401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PROJEKTI</w:t>
            </w:r>
          </w:p>
        </w:tc>
      </w:tr>
      <w:tr w:rsidR="005A0CC1" w:rsidRPr="005A0CC1" w14:paraId="50833BEC" w14:textId="77777777" w:rsidTr="001C7DE3">
        <w:trPr>
          <w:gridAfter w:val="1"/>
          <w:wAfter w:w="9" w:type="dxa"/>
          <w:trHeight w:val="2481"/>
        </w:trPr>
        <w:tc>
          <w:tcPr>
            <w:tcW w:w="1722" w:type="dxa"/>
            <w:hideMark/>
          </w:tcPr>
          <w:p w14:paraId="6C37F6F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3A09F78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1.1.1. Oformljavanje projektnih timova za upravljanje projektima na nekretninama od strateškog značaja za Republiku Hrvatsku</w:t>
            </w:r>
          </w:p>
        </w:tc>
        <w:tc>
          <w:tcPr>
            <w:tcW w:w="1766" w:type="dxa"/>
            <w:hideMark/>
          </w:tcPr>
          <w:p w14:paraId="2B6A173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00967A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3DA673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oformljenih timova za pojedini projekt</w:t>
            </w:r>
          </w:p>
        </w:tc>
        <w:tc>
          <w:tcPr>
            <w:tcW w:w="1502" w:type="dxa"/>
            <w:hideMark/>
          </w:tcPr>
          <w:p w14:paraId="0CB71C0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67BBDB7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2CE0302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502" w:type="dxa"/>
            <w:hideMark/>
          </w:tcPr>
          <w:p w14:paraId="2FA4885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61007B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005C11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8</w:t>
            </w:r>
          </w:p>
        </w:tc>
        <w:tc>
          <w:tcPr>
            <w:tcW w:w="1689" w:type="dxa"/>
          </w:tcPr>
          <w:p w14:paraId="37CD6A9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E80126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724DEB0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13" w:type="dxa"/>
            <w:hideMark/>
          </w:tcPr>
          <w:p w14:paraId="323F4D6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418A4A9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1. Golf Ladina, Novigrad, Zadarska županija                                                    2.  Mačjak - Šumljak, Lukoran, otok Preko, Zadarska županija                                                 3.  Krmača, otok Korčula, Dubrovačko-neretvanska županija                                                  4.  Zemljište nekadašnje Valjaonice cijevi Sisak, Sisačko-moslavačka županija                                                           </w:t>
            </w:r>
          </w:p>
          <w:p w14:paraId="715CE762"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5. Bivši vojni kompleksi Velebit V2 i Velebit V3, Delnice, Primorsko-goranska županija                                        </w:t>
            </w:r>
          </w:p>
          <w:p w14:paraId="14259AF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6. Saccorgiana, Pula, Istarska županija             </w:t>
            </w:r>
            <w:r w:rsidRPr="005A0CC1">
              <w:rPr>
                <w:rFonts w:ascii="Times New Roman" w:eastAsia="Aptos" w:hAnsi="Times New Roman" w:cs="Times New Roman"/>
                <w:color w:val="auto"/>
                <w:kern w:val="2"/>
                <w:sz w:val="20"/>
                <w:szCs w:val="20"/>
                <w:lang w:eastAsia="en-US" w:bidi="ar-SA"/>
                <w14:ligatures w14:val="standardContextual"/>
              </w:rPr>
              <w:br/>
              <w:t>7. Vrata Zadra, Zadar, Zadarska županija</w:t>
            </w:r>
            <w:r w:rsidRPr="005A0CC1">
              <w:rPr>
                <w:rFonts w:ascii="Times New Roman" w:eastAsia="Aptos" w:hAnsi="Times New Roman" w:cs="Times New Roman"/>
                <w:color w:val="auto"/>
                <w:kern w:val="2"/>
                <w:sz w:val="20"/>
                <w:szCs w:val="20"/>
                <w:lang w:eastAsia="en-US" w:bidi="ar-SA"/>
                <w14:ligatures w14:val="standardContextual"/>
              </w:rPr>
              <w:br/>
              <w:t>8. Campanož, Medulin, Istarska županija</w:t>
            </w:r>
          </w:p>
          <w:p w14:paraId="01B6625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4CE6E24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r>
    </w:tbl>
    <w:p w14:paraId="559EA8D2"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42BF6332"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434D4603"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0683BA8F"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tbl>
      <w:tblPr>
        <w:tblStyle w:val="Reetkatablice2"/>
        <w:tblW w:w="13994" w:type="dxa"/>
        <w:tblLook w:val="04A0" w:firstRow="1" w:lastRow="0" w:firstColumn="1" w:lastColumn="0" w:noHBand="0" w:noVBand="1"/>
      </w:tblPr>
      <w:tblGrid>
        <w:gridCol w:w="1727"/>
        <w:gridCol w:w="1766"/>
        <w:gridCol w:w="1502"/>
        <w:gridCol w:w="1502"/>
        <w:gridCol w:w="1689"/>
        <w:gridCol w:w="5808"/>
      </w:tblGrid>
      <w:tr w:rsidR="005A0CC1" w:rsidRPr="005A0CC1" w14:paraId="0A76413D" w14:textId="77777777" w:rsidTr="001C7DE3">
        <w:trPr>
          <w:trHeight w:val="552"/>
        </w:trPr>
        <w:tc>
          <w:tcPr>
            <w:tcW w:w="13994" w:type="dxa"/>
            <w:gridSpan w:val="6"/>
            <w:shd w:val="clear" w:color="auto" w:fill="B4C6E7" w:themeFill="accent1" w:themeFillTint="66"/>
          </w:tcPr>
          <w:p w14:paraId="0698AEC9"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1: Učinkovito upravljanje nekretninama od strateškog značaja za Republiku Hrvatsku</w:t>
            </w:r>
          </w:p>
          <w:p w14:paraId="2A75F64A"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1.2. Priprema i razvoj projektnih prijedloga</w:t>
            </w:r>
          </w:p>
        </w:tc>
      </w:tr>
      <w:tr w:rsidR="005A0CC1" w:rsidRPr="005A0CC1" w14:paraId="4149CDD0" w14:textId="77777777" w:rsidTr="001C7DE3">
        <w:trPr>
          <w:trHeight w:val="732"/>
        </w:trPr>
        <w:tc>
          <w:tcPr>
            <w:tcW w:w="1727" w:type="dxa"/>
            <w:shd w:val="clear" w:color="auto" w:fill="B4C6E7" w:themeFill="accent1" w:themeFillTint="66"/>
            <w:vAlign w:val="center"/>
            <w:hideMark/>
          </w:tcPr>
          <w:p w14:paraId="75B1782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345B7CC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766" w:type="dxa"/>
            <w:shd w:val="clear" w:color="auto" w:fill="B4C6E7" w:themeFill="accent1" w:themeFillTint="66"/>
            <w:vAlign w:val="center"/>
            <w:hideMark/>
          </w:tcPr>
          <w:p w14:paraId="34CFE8C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502" w:type="dxa"/>
            <w:shd w:val="clear" w:color="auto" w:fill="B4C6E7" w:themeFill="accent1" w:themeFillTint="66"/>
            <w:vAlign w:val="center"/>
            <w:hideMark/>
          </w:tcPr>
          <w:p w14:paraId="27227430"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502" w:type="dxa"/>
            <w:shd w:val="clear" w:color="auto" w:fill="B4C6E7" w:themeFill="accent1" w:themeFillTint="66"/>
            <w:vAlign w:val="center"/>
            <w:hideMark/>
          </w:tcPr>
          <w:p w14:paraId="6FD01101"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689" w:type="dxa"/>
            <w:shd w:val="clear" w:color="auto" w:fill="B4C6E7" w:themeFill="accent1" w:themeFillTint="66"/>
            <w:vAlign w:val="center"/>
          </w:tcPr>
          <w:p w14:paraId="1C293CB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c>
          <w:tcPr>
            <w:tcW w:w="5808" w:type="dxa"/>
            <w:shd w:val="clear" w:color="auto" w:fill="B4C6E7" w:themeFill="accent1" w:themeFillTint="66"/>
            <w:vAlign w:val="center"/>
            <w:hideMark/>
          </w:tcPr>
          <w:p w14:paraId="750AFAF0"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PROJEKTI</w:t>
            </w:r>
          </w:p>
        </w:tc>
      </w:tr>
      <w:tr w:rsidR="005A0CC1" w:rsidRPr="005A0CC1" w14:paraId="0B254906" w14:textId="77777777" w:rsidTr="001C7DE3">
        <w:trPr>
          <w:trHeight w:val="943"/>
        </w:trPr>
        <w:tc>
          <w:tcPr>
            <w:tcW w:w="1727" w:type="dxa"/>
          </w:tcPr>
          <w:p w14:paraId="47696B8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1.2.1. Izrada analiza i predinvesticijskih studija</w:t>
            </w:r>
          </w:p>
        </w:tc>
        <w:tc>
          <w:tcPr>
            <w:tcW w:w="1766" w:type="dxa"/>
          </w:tcPr>
          <w:p w14:paraId="324EA7A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izrađenih analiza i predinvesticijskih studija</w:t>
            </w:r>
          </w:p>
        </w:tc>
        <w:tc>
          <w:tcPr>
            <w:tcW w:w="1502" w:type="dxa"/>
          </w:tcPr>
          <w:p w14:paraId="0E839A4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69C3388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502" w:type="dxa"/>
          </w:tcPr>
          <w:p w14:paraId="015BF0C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3F31C1F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689" w:type="dxa"/>
          </w:tcPr>
          <w:p w14:paraId="72E9E96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12AB27B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08" w:type="dxa"/>
          </w:tcPr>
          <w:p w14:paraId="4B1EC27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 Turistička zona Privlaka, Zadarska županija</w:t>
            </w:r>
          </w:p>
          <w:p w14:paraId="7616164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 Dječje selo Promajna, Baška Voda, Splitsko-dalmatinska županija</w:t>
            </w:r>
          </w:p>
          <w:p w14:paraId="4862A37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r>
      <w:tr w:rsidR="005A0CC1" w:rsidRPr="005A0CC1" w14:paraId="4003F7AF" w14:textId="77777777" w:rsidTr="001C7DE3">
        <w:trPr>
          <w:trHeight w:val="546"/>
        </w:trPr>
        <w:tc>
          <w:tcPr>
            <w:tcW w:w="1727" w:type="dxa"/>
            <w:vMerge w:val="restart"/>
          </w:tcPr>
          <w:p w14:paraId="306F214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lastRenderedPageBreak/>
              <w:t xml:space="preserve">1.2.2. Provođenje ispitivanja tržišta (Soft Market Testing) i izrada promo materijala  </w:t>
            </w:r>
          </w:p>
        </w:tc>
        <w:tc>
          <w:tcPr>
            <w:tcW w:w="1766" w:type="dxa"/>
          </w:tcPr>
          <w:p w14:paraId="325C802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provedenih ispitivanja tržišta</w:t>
            </w:r>
          </w:p>
        </w:tc>
        <w:tc>
          <w:tcPr>
            <w:tcW w:w="1502" w:type="dxa"/>
          </w:tcPr>
          <w:p w14:paraId="21AE20F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30330BF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502" w:type="dxa"/>
          </w:tcPr>
          <w:p w14:paraId="315F5FC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32E9DC4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689" w:type="dxa"/>
          </w:tcPr>
          <w:p w14:paraId="50B3CC0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1CA82D8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08" w:type="dxa"/>
          </w:tcPr>
          <w:p w14:paraId="7AE6370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 Turistička zona Privlaka, Zadarska županija</w:t>
            </w:r>
          </w:p>
          <w:p w14:paraId="6CD9015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 Dječje selo Promajna, Baška Voda, Splitsko-dalmatinska županija</w:t>
            </w:r>
          </w:p>
          <w:p w14:paraId="5C15810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r>
      <w:tr w:rsidR="005A0CC1" w:rsidRPr="005A0CC1" w14:paraId="616D62BD" w14:textId="77777777" w:rsidTr="001C7DE3">
        <w:trPr>
          <w:trHeight w:val="1274"/>
        </w:trPr>
        <w:tc>
          <w:tcPr>
            <w:tcW w:w="1727" w:type="dxa"/>
            <w:vMerge/>
          </w:tcPr>
          <w:p w14:paraId="7341BE0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1766" w:type="dxa"/>
          </w:tcPr>
          <w:p w14:paraId="3C23068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Izrađeni promo materijali za pojedini projekt (brošure, digitalni sadržaj i sl.)</w:t>
            </w:r>
          </w:p>
        </w:tc>
        <w:tc>
          <w:tcPr>
            <w:tcW w:w="1502" w:type="dxa"/>
          </w:tcPr>
          <w:p w14:paraId="26BD4A1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6D1572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502" w:type="dxa"/>
          </w:tcPr>
          <w:p w14:paraId="6808A55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2EBAF8D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689" w:type="dxa"/>
          </w:tcPr>
          <w:p w14:paraId="55E8C62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E0626D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08" w:type="dxa"/>
          </w:tcPr>
          <w:p w14:paraId="2D0D2F8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 Turistička zona Privlaka, Zadarska županija</w:t>
            </w:r>
          </w:p>
          <w:p w14:paraId="6DE4CF3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 Dječje selo Promajna, Baška Voda, Splitsko-dalmatinska županija</w:t>
            </w:r>
          </w:p>
          <w:p w14:paraId="7DEF53C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r>
    </w:tbl>
    <w:p w14:paraId="3C71D316"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75BBD871"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426B6501"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2D0EBE3E"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p>
    <w:tbl>
      <w:tblPr>
        <w:tblStyle w:val="Reetkatablice2"/>
        <w:tblW w:w="13994" w:type="dxa"/>
        <w:tblLook w:val="04A0" w:firstRow="1" w:lastRow="0" w:firstColumn="1" w:lastColumn="0" w:noHBand="0" w:noVBand="1"/>
      </w:tblPr>
      <w:tblGrid>
        <w:gridCol w:w="1723"/>
        <w:gridCol w:w="1766"/>
        <w:gridCol w:w="1502"/>
        <w:gridCol w:w="1502"/>
        <w:gridCol w:w="1689"/>
        <w:gridCol w:w="5812"/>
      </w:tblGrid>
      <w:tr w:rsidR="005A0CC1" w:rsidRPr="005A0CC1" w14:paraId="6DA1D4E5" w14:textId="77777777" w:rsidTr="001C7DE3">
        <w:trPr>
          <w:trHeight w:val="516"/>
        </w:trPr>
        <w:tc>
          <w:tcPr>
            <w:tcW w:w="13994" w:type="dxa"/>
            <w:gridSpan w:val="6"/>
            <w:shd w:val="clear" w:color="auto" w:fill="B4C6E7" w:themeFill="accent1" w:themeFillTint="66"/>
          </w:tcPr>
          <w:p w14:paraId="29A51310"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1: Učinkovito upravljanje nekretninama od strateškog značaja za Republiku Hrvatsku</w:t>
            </w:r>
          </w:p>
          <w:p w14:paraId="3CD90BAE"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1.3. Provedba projekata na nekretninama od strateškog značaja za Republiku Hrvatsku</w:t>
            </w:r>
          </w:p>
        </w:tc>
      </w:tr>
      <w:tr w:rsidR="005A0CC1" w:rsidRPr="005A0CC1" w14:paraId="6D303E05" w14:textId="77777777" w:rsidTr="001C7DE3">
        <w:trPr>
          <w:trHeight w:val="783"/>
        </w:trPr>
        <w:tc>
          <w:tcPr>
            <w:tcW w:w="1723" w:type="dxa"/>
            <w:shd w:val="clear" w:color="auto" w:fill="B4C6E7" w:themeFill="accent1" w:themeFillTint="66"/>
            <w:vAlign w:val="center"/>
            <w:hideMark/>
          </w:tcPr>
          <w:p w14:paraId="7471485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38F1ABF1"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766" w:type="dxa"/>
            <w:shd w:val="clear" w:color="auto" w:fill="B4C6E7" w:themeFill="accent1" w:themeFillTint="66"/>
            <w:vAlign w:val="center"/>
            <w:hideMark/>
          </w:tcPr>
          <w:p w14:paraId="2A5E112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502" w:type="dxa"/>
            <w:shd w:val="clear" w:color="auto" w:fill="B4C6E7" w:themeFill="accent1" w:themeFillTint="66"/>
            <w:vAlign w:val="center"/>
            <w:hideMark/>
          </w:tcPr>
          <w:p w14:paraId="75C4950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502" w:type="dxa"/>
            <w:shd w:val="clear" w:color="auto" w:fill="B4C6E7" w:themeFill="accent1" w:themeFillTint="66"/>
            <w:vAlign w:val="center"/>
            <w:hideMark/>
          </w:tcPr>
          <w:p w14:paraId="1197010C"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689" w:type="dxa"/>
            <w:shd w:val="clear" w:color="auto" w:fill="B4C6E7" w:themeFill="accent1" w:themeFillTint="66"/>
            <w:vAlign w:val="center"/>
          </w:tcPr>
          <w:p w14:paraId="690FDD6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c>
          <w:tcPr>
            <w:tcW w:w="5812" w:type="dxa"/>
            <w:shd w:val="clear" w:color="auto" w:fill="B4C6E7" w:themeFill="accent1" w:themeFillTint="66"/>
            <w:vAlign w:val="center"/>
            <w:hideMark/>
          </w:tcPr>
          <w:p w14:paraId="20AECE6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PROJEKTI</w:t>
            </w:r>
          </w:p>
        </w:tc>
      </w:tr>
      <w:tr w:rsidR="005A0CC1" w:rsidRPr="005A0CC1" w14:paraId="48126F32" w14:textId="77777777" w:rsidTr="001C7DE3">
        <w:trPr>
          <w:trHeight w:val="875"/>
        </w:trPr>
        <w:tc>
          <w:tcPr>
            <w:tcW w:w="1723" w:type="dxa"/>
          </w:tcPr>
          <w:p w14:paraId="6EC83D6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1.3.1. Provedba javnih natječaja za realizaciju projekata</w:t>
            </w:r>
          </w:p>
        </w:tc>
        <w:tc>
          <w:tcPr>
            <w:tcW w:w="1766" w:type="dxa"/>
          </w:tcPr>
          <w:p w14:paraId="12E86E5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objavljenih javnih natječaja</w:t>
            </w:r>
          </w:p>
        </w:tc>
        <w:tc>
          <w:tcPr>
            <w:tcW w:w="1502" w:type="dxa"/>
          </w:tcPr>
          <w:p w14:paraId="79DEA67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6DA45A3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502" w:type="dxa"/>
          </w:tcPr>
          <w:p w14:paraId="5527266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9F8756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1689" w:type="dxa"/>
          </w:tcPr>
          <w:p w14:paraId="2BBD27F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12B415D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12" w:type="dxa"/>
          </w:tcPr>
          <w:p w14:paraId="21B789E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1932AC8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 Spomen dom Kumrovec, Krapinsko-zagorska županija</w:t>
            </w:r>
          </w:p>
        </w:tc>
      </w:tr>
      <w:tr w:rsidR="005A0CC1" w:rsidRPr="005A0CC1" w14:paraId="5FECD5F4" w14:textId="77777777" w:rsidTr="001C7DE3">
        <w:trPr>
          <w:trHeight w:val="1085"/>
        </w:trPr>
        <w:tc>
          <w:tcPr>
            <w:tcW w:w="1723" w:type="dxa"/>
          </w:tcPr>
          <w:p w14:paraId="0640A01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1.3.2. Praćenje izvršenja sklopljenih ugovora o realizaciji projekata</w:t>
            </w:r>
          </w:p>
        </w:tc>
        <w:tc>
          <w:tcPr>
            <w:tcW w:w="1766" w:type="dxa"/>
          </w:tcPr>
          <w:p w14:paraId="784969E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projekata za koje se prati izvršenje ugovornih obveza (kumulativ)</w:t>
            </w:r>
          </w:p>
        </w:tc>
        <w:tc>
          <w:tcPr>
            <w:tcW w:w="1502" w:type="dxa"/>
          </w:tcPr>
          <w:p w14:paraId="337129A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17569D1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502" w:type="dxa"/>
          </w:tcPr>
          <w:p w14:paraId="70D55D8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471427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689" w:type="dxa"/>
          </w:tcPr>
          <w:p w14:paraId="4810451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33369BF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5812" w:type="dxa"/>
          </w:tcPr>
          <w:p w14:paraId="5109C65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7F0BDF1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 Kupari, Dubrovnik, Dubrovačko-neretvanska županija</w:t>
            </w:r>
          </w:p>
          <w:p w14:paraId="057B22A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 Prukljan, Skradin, Šibensko-kninska županija</w:t>
            </w:r>
          </w:p>
        </w:tc>
      </w:tr>
    </w:tbl>
    <w:p w14:paraId="1BD8CC75"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67285DAC"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129E8008"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65A25FA3"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p>
    <w:p w14:paraId="213BDAEA"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p>
    <w:p w14:paraId="104A0FAA"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p>
    <w:tbl>
      <w:tblPr>
        <w:tblStyle w:val="Reetkatablice2"/>
        <w:tblpPr w:leftFromText="180" w:rightFromText="180" w:vertAnchor="text" w:tblpXSpec="center" w:tblpY="1"/>
        <w:tblOverlap w:val="never"/>
        <w:tblW w:w="0" w:type="auto"/>
        <w:tblLook w:val="04A0" w:firstRow="1" w:lastRow="0" w:firstColumn="1" w:lastColumn="0" w:noHBand="0" w:noVBand="1"/>
      </w:tblPr>
      <w:tblGrid>
        <w:gridCol w:w="6883"/>
        <w:gridCol w:w="2422"/>
        <w:gridCol w:w="1736"/>
        <w:gridCol w:w="1625"/>
        <w:gridCol w:w="1328"/>
      </w:tblGrid>
      <w:tr w:rsidR="005A0CC1" w:rsidRPr="005A0CC1" w14:paraId="3C8D3027" w14:textId="77777777" w:rsidTr="001C7DE3">
        <w:trPr>
          <w:trHeight w:val="707"/>
        </w:trPr>
        <w:tc>
          <w:tcPr>
            <w:tcW w:w="13994" w:type="dxa"/>
            <w:gridSpan w:val="5"/>
            <w:shd w:val="clear" w:color="auto" w:fill="B4C6E7" w:themeFill="accent1" w:themeFillTint="66"/>
            <w:hideMark/>
          </w:tcPr>
          <w:p w14:paraId="04479945"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lastRenderedPageBreak/>
              <w:t>STRATEŠKI CILJ 2: Učinkovito upravljanje nekretninama koje nisu od strateškog značaja za Republiku Hrvatsku</w:t>
            </w:r>
          </w:p>
          <w:p w14:paraId="49CF9B7F"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2.1. Koordinacija upravljanja nekretninama u vlasništvu Republike Hrvatske u odnosu na nadležna tijela za provedbu decentraliziranog modela upravljanja nekretninama</w:t>
            </w:r>
          </w:p>
        </w:tc>
      </w:tr>
      <w:tr w:rsidR="005A0CC1" w:rsidRPr="005A0CC1" w14:paraId="6515A1DF" w14:textId="77777777" w:rsidTr="001C7DE3">
        <w:trPr>
          <w:trHeight w:val="567"/>
        </w:trPr>
        <w:tc>
          <w:tcPr>
            <w:tcW w:w="0" w:type="auto"/>
            <w:vMerge w:val="restart"/>
            <w:shd w:val="clear" w:color="auto" w:fill="B4C6E7" w:themeFill="accent1" w:themeFillTint="66"/>
            <w:vAlign w:val="center"/>
            <w:hideMark/>
          </w:tcPr>
          <w:p w14:paraId="0F7D19E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4D58065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0" w:type="auto"/>
            <w:vMerge w:val="restart"/>
            <w:shd w:val="clear" w:color="auto" w:fill="B4C6E7" w:themeFill="accent1" w:themeFillTint="66"/>
            <w:vAlign w:val="center"/>
            <w:hideMark/>
          </w:tcPr>
          <w:p w14:paraId="44F90E41"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736" w:type="dxa"/>
            <w:vMerge w:val="restart"/>
            <w:shd w:val="clear" w:color="auto" w:fill="B4C6E7" w:themeFill="accent1" w:themeFillTint="66"/>
            <w:vAlign w:val="center"/>
            <w:hideMark/>
          </w:tcPr>
          <w:p w14:paraId="21A49FBE"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625" w:type="dxa"/>
            <w:vMerge w:val="restart"/>
            <w:shd w:val="clear" w:color="auto" w:fill="B4C6E7" w:themeFill="accent1" w:themeFillTint="66"/>
            <w:vAlign w:val="center"/>
            <w:hideMark/>
          </w:tcPr>
          <w:p w14:paraId="4391047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0" w:type="auto"/>
            <w:vMerge w:val="restart"/>
            <w:shd w:val="clear" w:color="auto" w:fill="B4C6E7" w:themeFill="accent1" w:themeFillTint="66"/>
            <w:vAlign w:val="center"/>
            <w:hideMark/>
          </w:tcPr>
          <w:p w14:paraId="2D65AEF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w:t>
            </w:r>
          </w:p>
          <w:p w14:paraId="30F5E9C3"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PROVEDBE</w:t>
            </w:r>
          </w:p>
        </w:tc>
      </w:tr>
      <w:tr w:rsidR="005A0CC1" w:rsidRPr="005A0CC1" w14:paraId="5CFEEB5D" w14:textId="77777777" w:rsidTr="001C7DE3">
        <w:trPr>
          <w:trHeight w:val="333"/>
        </w:trPr>
        <w:tc>
          <w:tcPr>
            <w:tcW w:w="0" w:type="auto"/>
            <w:vMerge/>
            <w:shd w:val="clear" w:color="auto" w:fill="B4C6E7" w:themeFill="accent1" w:themeFillTint="66"/>
            <w:hideMark/>
          </w:tcPr>
          <w:p w14:paraId="09EFE585" w14:textId="77777777" w:rsidR="005A0CC1" w:rsidRPr="005A0CC1" w:rsidRDefault="005A0CC1" w:rsidP="005A0CC1">
            <w:pPr>
              <w:widowControl/>
              <w:rPr>
                <w:rFonts w:ascii="Times New Roman" w:eastAsia="Aptos" w:hAnsi="Times New Roman" w:cs="Times New Roman"/>
                <w:b/>
                <w:bCs/>
                <w:color w:val="auto"/>
                <w:kern w:val="2"/>
                <w:sz w:val="20"/>
                <w:szCs w:val="20"/>
                <w:lang w:eastAsia="en-US" w:bidi="ar-SA"/>
                <w14:ligatures w14:val="standardContextual"/>
              </w:rPr>
            </w:pPr>
          </w:p>
        </w:tc>
        <w:tc>
          <w:tcPr>
            <w:tcW w:w="0" w:type="auto"/>
            <w:vMerge/>
            <w:shd w:val="clear" w:color="auto" w:fill="B4C6E7" w:themeFill="accent1" w:themeFillTint="66"/>
            <w:hideMark/>
          </w:tcPr>
          <w:p w14:paraId="5344DC4F" w14:textId="77777777" w:rsidR="005A0CC1" w:rsidRPr="005A0CC1" w:rsidRDefault="005A0CC1" w:rsidP="005A0CC1">
            <w:pPr>
              <w:widowControl/>
              <w:rPr>
                <w:rFonts w:ascii="Times New Roman" w:eastAsia="Aptos" w:hAnsi="Times New Roman" w:cs="Times New Roman"/>
                <w:b/>
                <w:bCs/>
                <w:color w:val="auto"/>
                <w:kern w:val="2"/>
                <w:sz w:val="20"/>
                <w:szCs w:val="20"/>
                <w:lang w:eastAsia="en-US" w:bidi="ar-SA"/>
                <w14:ligatures w14:val="standardContextual"/>
              </w:rPr>
            </w:pPr>
          </w:p>
        </w:tc>
        <w:tc>
          <w:tcPr>
            <w:tcW w:w="1736" w:type="dxa"/>
            <w:vMerge/>
            <w:shd w:val="clear" w:color="auto" w:fill="B4C6E7" w:themeFill="accent1" w:themeFillTint="66"/>
            <w:hideMark/>
          </w:tcPr>
          <w:p w14:paraId="13C496FF" w14:textId="77777777" w:rsidR="005A0CC1" w:rsidRPr="005A0CC1" w:rsidRDefault="005A0CC1" w:rsidP="005A0CC1">
            <w:pPr>
              <w:widowControl/>
              <w:rPr>
                <w:rFonts w:ascii="Times New Roman" w:eastAsia="Aptos" w:hAnsi="Times New Roman" w:cs="Times New Roman"/>
                <w:b/>
                <w:bCs/>
                <w:color w:val="auto"/>
                <w:kern w:val="2"/>
                <w:sz w:val="20"/>
                <w:szCs w:val="20"/>
                <w:lang w:eastAsia="en-US" w:bidi="ar-SA"/>
                <w14:ligatures w14:val="standardContextual"/>
              </w:rPr>
            </w:pPr>
          </w:p>
        </w:tc>
        <w:tc>
          <w:tcPr>
            <w:tcW w:w="1625" w:type="dxa"/>
            <w:vMerge/>
            <w:shd w:val="clear" w:color="auto" w:fill="B4C6E7" w:themeFill="accent1" w:themeFillTint="66"/>
            <w:hideMark/>
          </w:tcPr>
          <w:p w14:paraId="77E1755F" w14:textId="77777777" w:rsidR="005A0CC1" w:rsidRPr="005A0CC1" w:rsidRDefault="005A0CC1" w:rsidP="005A0CC1">
            <w:pPr>
              <w:widowControl/>
              <w:rPr>
                <w:rFonts w:ascii="Times New Roman" w:eastAsia="Aptos" w:hAnsi="Times New Roman" w:cs="Times New Roman"/>
                <w:b/>
                <w:bCs/>
                <w:color w:val="auto"/>
                <w:kern w:val="2"/>
                <w:sz w:val="20"/>
                <w:szCs w:val="20"/>
                <w:lang w:eastAsia="en-US" w:bidi="ar-SA"/>
                <w14:ligatures w14:val="standardContextual"/>
              </w:rPr>
            </w:pPr>
          </w:p>
        </w:tc>
        <w:tc>
          <w:tcPr>
            <w:tcW w:w="0" w:type="auto"/>
            <w:vMerge/>
            <w:shd w:val="clear" w:color="auto" w:fill="B4C6E7" w:themeFill="accent1" w:themeFillTint="66"/>
            <w:hideMark/>
          </w:tcPr>
          <w:p w14:paraId="1F60BB52" w14:textId="77777777" w:rsidR="005A0CC1" w:rsidRPr="005A0CC1" w:rsidRDefault="005A0CC1" w:rsidP="005A0CC1">
            <w:pPr>
              <w:widowControl/>
              <w:rPr>
                <w:rFonts w:ascii="Times New Roman" w:eastAsia="Aptos" w:hAnsi="Times New Roman" w:cs="Times New Roman"/>
                <w:b/>
                <w:bCs/>
                <w:color w:val="auto"/>
                <w:kern w:val="2"/>
                <w:sz w:val="20"/>
                <w:szCs w:val="20"/>
                <w:lang w:eastAsia="en-US" w:bidi="ar-SA"/>
                <w14:ligatures w14:val="standardContextual"/>
              </w:rPr>
            </w:pPr>
          </w:p>
        </w:tc>
      </w:tr>
      <w:tr w:rsidR="005A0CC1" w:rsidRPr="005A0CC1" w14:paraId="27066FE9" w14:textId="77777777" w:rsidTr="001C7DE3">
        <w:trPr>
          <w:trHeight w:val="504"/>
        </w:trPr>
        <w:tc>
          <w:tcPr>
            <w:tcW w:w="0" w:type="auto"/>
            <w:vMerge w:val="restart"/>
            <w:hideMark/>
          </w:tcPr>
          <w:p w14:paraId="3A983FE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2.1.1. Provedba koordinacije upravljanja nekretninama u vlasništvu Republike Hrvatske u odnosu na druga nadležna tijela kojima su temeljem Zakona kojima se uređuje upravljanje nekretninama u vlasništvu Republike Hrvatske povjereni poslovi upravljanja</w:t>
            </w:r>
          </w:p>
          <w:p w14:paraId="7DD94B9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hideMark/>
          </w:tcPr>
          <w:p w14:paraId="1435368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provedenih nadzora  sukladno Planu nadzora</w:t>
            </w:r>
          </w:p>
        </w:tc>
        <w:tc>
          <w:tcPr>
            <w:tcW w:w="1736" w:type="dxa"/>
            <w:vAlign w:val="center"/>
            <w:hideMark/>
          </w:tcPr>
          <w:p w14:paraId="587875C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1625" w:type="dxa"/>
            <w:vAlign w:val="center"/>
            <w:hideMark/>
          </w:tcPr>
          <w:p w14:paraId="204B7D1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5</w:t>
            </w:r>
          </w:p>
        </w:tc>
        <w:tc>
          <w:tcPr>
            <w:tcW w:w="0" w:type="auto"/>
            <w:vAlign w:val="center"/>
            <w:hideMark/>
          </w:tcPr>
          <w:p w14:paraId="0B0A590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056AA12B" w14:textId="77777777" w:rsidTr="001C7DE3">
        <w:trPr>
          <w:trHeight w:val="674"/>
        </w:trPr>
        <w:tc>
          <w:tcPr>
            <w:tcW w:w="0" w:type="auto"/>
            <w:vMerge/>
            <w:hideMark/>
          </w:tcPr>
          <w:p w14:paraId="3CFFF59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hideMark/>
          </w:tcPr>
          <w:p w14:paraId="427E7C2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izrađenih uputa za postupanja</w:t>
            </w:r>
          </w:p>
        </w:tc>
        <w:tc>
          <w:tcPr>
            <w:tcW w:w="1736" w:type="dxa"/>
            <w:vAlign w:val="center"/>
            <w:hideMark/>
          </w:tcPr>
          <w:p w14:paraId="096E92A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51</w:t>
            </w:r>
          </w:p>
        </w:tc>
        <w:tc>
          <w:tcPr>
            <w:tcW w:w="1625" w:type="dxa"/>
            <w:vAlign w:val="center"/>
            <w:hideMark/>
          </w:tcPr>
          <w:p w14:paraId="71FCF55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60</w:t>
            </w:r>
          </w:p>
        </w:tc>
        <w:tc>
          <w:tcPr>
            <w:tcW w:w="0" w:type="auto"/>
            <w:vAlign w:val="center"/>
            <w:hideMark/>
          </w:tcPr>
          <w:p w14:paraId="105E1C2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10DCD92D" w14:textId="77777777" w:rsidTr="001C7DE3">
        <w:trPr>
          <w:trHeight w:val="552"/>
        </w:trPr>
        <w:tc>
          <w:tcPr>
            <w:tcW w:w="0" w:type="auto"/>
            <w:vMerge/>
            <w:hideMark/>
          </w:tcPr>
          <w:p w14:paraId="66B5AD6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hideMark/>
          </w:tcPr>
          <w:p w14:paraId="62CA773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očitovanja o nadležnosti za postupanje</w:t>
            </w:r>
          </w:p>
        </w:tc>
        <w:tc>
          <w:tcPr>
            <w:tcW w:w="1736" w:type="dxa"/>
            <w:vAlign w:val="center"/>
            <w:hideMark/>
          </w:tcPr>
          <w:p w14:paraId="0C4CBCF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1625" w:type="dxa"/>
            <w:vAlign w:val="center"/>
            <w:hideMark/>
          </w:tcPr>
          <w:p w14:paraId="76FB3CB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30</w:t>
            </w:r>
          </w:p>
        </w:tc>
        <w:tc>
          <w:tcPr>
            <w:tcW w:w="0" w:type="auto"/>
            <w:vAlign w:val="center"/>
            <w:hideMark/>
          </w:tcPr>
          <w:p w14:paraId="1F54BCD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038443C1"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042803A1"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0E1FFA07"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7BC79D68"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33EE87D5"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60DDC354"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369B5C43"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012F3BA7"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0C1029D2"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632120F3"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08F9F072"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tbl>
      <w:tblPr>
        <w:tblStyle w:val="Reetkatablice2"/>
        <w:tblW w:w="12895" w:type="dxa"/>
        <w:jc w:val="center"/>
        <w:tblLook w:val="04A0" w:firstRow="1" w:lastRow="0" w:firstColumn="1" w:lastColumn="0" w:noHBand="0" w:noVBand="1"/>
      </w:tblPr>
      <w:tblGrid>
        <w:gridCol w:w="3964"/>
        <w:gridCol w:w="3266"/>
        <w:gridCol w:w="1956"/>
        <w:gridCol w:w="1825"/>
        <w:gridCol w:w="1884"/>
      </w:tblGrid>
      <w:tr w:rsidR="005A0CC1" w:rsidRPr="005A0CC1" w14:paraId="516674AC" w14:textId="77777777" w:rsidTr="001C7DE3">
        <w:trPr>
          <w:trHeight w:val="978"/>
          <w:jc w:val="center"/>
        </w:trPr>
        <w:tc>
          <w:tcPr>
            <w:tcW w:w="12895" w:type="dxa"/>
            <w:gridSpan w:val="5"/>
            <w:tcBorders>
              <w:bottom w:val="single" w:sz="4" w:space="0" w:color="auto"/>
            </w:tcBorders>
            <w:shd w:val="clear" w:color="auto" w:fill="B4C6E7" w:themeFill="accent1" w:themeFillTint="66"/>
            <w:vAlign w:val="center"/>
          </w:tcPr>
          <w:p w14:paraId="7789FF41"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lastRenderedPageBreak/>
              <w:t>STRATEŠKI CILJ 2: Učinkovito upravljanje nekretninama koje nisu od strateškog značaja za Republiku Hrvatsku</w:t>
            </w:r>
          </w:p>
          <w:p w14:paraId="04126983"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2.2. Aktivacija neiskorištenih nekretnina</w:t>
            </w:r>
          </w:p>
        </w:tc>
      </w:tr>
      <w:tr w:rsidR="005A0CC1" w:rsidRPr="005A0CC1" w14:paraId="3B0498A8" w14:textId="77777777" w:rsidTr="001C7DE3">
        <w:trPr>
          <w:trHeight w:val="450"/>
          <w:jc w:val="center"/>
        </w:trPr>
        <w:tc>
          <w:tcPr>
            <w:tcW w:w="3964" w:type="dxa"/>
            <w:vMerge w:val="restart"/>
            <w:tcBorders>
              <w:bottom w:val="single" w:sz="4" w:space="0" w:color="auto"/>
            </w:tcBorders>
            <w:shd w:val="clear" w:color="auto" w:fill="B4C6E7" w:themeFill="accent1" w:themeFillTint="66"/>
            <w:vAlign w:val="center"/>
            <w:hideMark/>
          </w:tcPr>
          <w:p w14:paraId="6296B92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4B4A291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3266" w:type="dxa"/>
            <w:vMerge w:val="restart"/>
            <w:shd w:val="clear" w:color="auto" w:fill="B4C6E7" w:themeFill="accent1" w:themeFillTint="66"/>
            <w:vAlign w:val="center"/>
            <w:hideMark/>
          </w:tcPr>
          <w:p w14:paraId="77175754"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0" w:type="auto"/>
            <w:vMerge w:val="restart"/>
            <w:shd w:val="clear" w:color="auto" w:fill="B4C6E7" w:themeFill="accent1" w:themeFillTint="66"/>
            <w:vAlign w:val="center"/>
            <w:hideMark/>
          </w:tcPr>
          <w:p w14:paraId="557E3B0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POČETNA VRIJEDNOST*</w:t>
            </w:r>
          </w:p>
        </w:tc>
        <w:tc>
          <w:tcPr>
            <w:tcW w:w="3709" w:type="dxa"/>
            <w:gridSpan w:val="2"/>
            <w:tcBorders>
              <w:bottom w:val="single" w:sz="4" w:space="0" w:color="auto"/>
            </w:tcBorders>
            <w:shd w:val="clear" w:color="auto" w:fill="B4C6E7" w:themeFill="accent1" w:themeFillTint="66"/>
            <w:vAlign w:val="center"/>
            <w:hideMark/>
          </w:tcPr>
          <w:p w14:paraId="66AAA18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PROVEDBA</w:t>
            </w:r>
          </w:p>
        </w:tc>
      </w:tr>
      <w:tr w:rsidR="005A0CC1" w:rsidRPr="005A0CC1" w14:paraId="556244FF" w14:textId="77777777" w:rsidTr="001C7DE3">
        <w:trPr>
          <w:trHeight w:val="658"/>
          <w:jc w:val="center"/>
        </w:trPr>
        <w:tc>
          <w:tcPr>
            <w:tcW w:w="3964" w:type="dxa"/>
            <w:vMerge/>
            <w:shd w:val="clear" w:color="auto" w:fill="A5C9EB"/>
          </w:tcPr>
          <w:p w14:paraId="3A61373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3266" w:type="dxa"/>
            <w:vMerge/>
            <w:shd w:val="clear" w:color="auto" w:fill="B4C6E7" w:themeFill="accent1" w:themeFillTint="66"/>
          </w:tcPr>
          <w:p w14:paraId="3E908FE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vMerge/>
            <w:shd w:val="clear" w:color="auto" w:fill="B4C6E7" w:themeFill="accent1" w:themeFillTint="66"/>
          </w:tcPr>
          <w:p w14:paraId="4AEC5C1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shd w:val="clear" w:color="auto" w:fill="B4C6E7" w:themeFill="accent1" w:themeFillTint="66"/>
            <w:vAlign w:val="center"/>
          </w:tcPr>
          <w:p w14:paraId="6896B94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CILJANA VRIJEDNOST</w:t>
            </w:r>
          </w:p>
        </w:tc>
        <w:tc>
          <w:tcPr>
            <w:tcW w:w="1884" w:type="dxa"/>
            <w:shd w:val="clear" w:color="auto" w:fill="B4C6E7" w:themeFill="accent1" w:themeFillTint="66"/>
            <w:vAlign w:val="center"/>
          </w:tcPr>
          <w:p w14:paraId="794E8C1E"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6D0E6839" w14:textId="77777777" w:rsidTr="001C7DE3">
        <w:trPr>
          <w:trHeight w:val="580"/>
          <w:jc w:val="center"/>
        </w:trPr>
        <w:tc>
          <w:tcPr>
            <w:tcW w:w="3964" w:type="dxa"/>
            <w:vMerge w:val="restart"/>
          </w:tcPr>
          <w:p w14:paraId="35FDCC45" w14:textId="77777777" w:rsidR="005A0CC1" w:rsidRPr="005A0CC1" w:rsidRDefault="005A0CC1" w:rsidP="005A0CC1">
            <w:pPr>
              <w:widowControl/>
              <w:ind w:right="-361"/>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2.2.1. Smanjenje portfelja prodajom nekretnina </w:t>
            </w:r>
          </w:p>
        </w:tc>
        <w:tc>
          <w:tcPr>
            <w:tcW w:w="3266" w:type="dxa"/>
          </w:tcPr>
          <w:p w14:paraId="6492408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objavljenih javnih poziva</w:t>
            </w:r>
          </w:p>
        </w:tc>
        <w:tc>
          <w:tcPr>
            <w:tcW w:w="0" w:type="auto"/>
            <w:vAlign w:val="center"/>
          </w:tcPr>
          <w:p w14:paraId="59C2E74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70</w:t>
            </w:r>
          </w:p>
        </w:tc>
        <w:tc>
          <w:tcPr>
            <w:tcW w:w="0" w:type="auto"/>
            <w:tcBorders>
              <w:bottom w:val="single" w:sz="4" w:space="0" w:color="auto"/>
            </w:tcBorders>
            <w:vAlign w:val="center"/>
          </w:tcPr>
          <w:p w14:paraId="252FF71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177</w:t>
            </w:r>
          </w:p>
        </w:tc>
        <w:tc>
          <w:tcPr>
            <w:tcW w:w="1884" w:type="dxa"/>
            <w:tcBorders>
              <w:bottom w:val="single" w:sz="4" w:space="0" w:color="auto"/>
            </w:tcBorders>
            <w:vAlign w:val="center"/>
          </w:tcPr>
          <w:p w14:paraId="3C264AA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240BA03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DN d.o.o. </w:t>
            </w:r>
          </w:p>
        </w:tc>
      </w:tr>
      <w:tr w:rsidR="005A0CC1" w:rsidRPr="005A0CC1" w14:paraId="2A7B8C5D" w14:textId="77777777" w:rsidTr="001C7DE3">
        <w:trPr>
          <w:trHeight w:val="649"/>
          <w:jc w:val="center"/>
        </w:trPr>
        <w:tc>
          <w:tcPr>
            <w:tcW w:w="3964" w:type="dxa"/>
            <w:vMerge/>
          </w:tcPr>
          <w:p w14:paraId="5CC1316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3266" w:type="dxa"/>
          </w:tcPr>
          <w:p w14:paraId="7A91A01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kupoprodaji (neposredno i javni poziv)</w:t>
            </w:r>
          </w:p>
        </w:tc>
        <w:tc>
          <w:tcPr>
            <w:tcW w:w="0" w:type="auto"/>
            <w:tcBorders>
              <w:right w:val="single" w:sz="4" w:space="0" w:color="auto"/>
            </w:tcBorders>
            <w:vAlign w:val="center"/>
          </w:tcPr>
          <w:p w14:paraId="3FB8C5B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217</w:t>
            </w:r>
          </w:p>
        </w:tc>
        <w:tc>
          <w:tcPr>
            <w:tcW w:w="0" w:type="auto"/>
            <w:tcBorders>
              <w:top w:val="single" w:sz="4" w:space="0" w:color="auto"/>
              <w:left w:val="single" w:sz="4" w:space="0" w:color="auto"/>
              <w:bottom w:val="single" w:sz="4" w:space="0" w:color="auto"/>
              <w:right w:val="single" w:sz="4" w:space="0" w:color="auto"/>
            </w:tcBorders>
            <w:vAlign w:val="center"/>
          </w:tcPr>
          <w:p w14:paraId="2E84D7A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610</w:t>
            </w:r>
          </w:p>
        </w:tc>
        <w:tc>
          <w:tcPr>
            <w:tcW w:w="1884" w:type="dxa"/>
            <w:tcBorders>
              <w:top w:val="single" w:sz="4" w:space="0" w:color="auto"/>
              <w:left w:val="single" w:sz="4" w:space="0" w:color="auto"/>
              <w:bottom w:val="single" w:sz="4" w:space="0" w:color="auto"/>
              <w:right w:val="single" w:sz="4" w:space="0" w:color="auto"/>
            </w:tcBorders>
            <w:vAlign w:val="center"/>
          </w:tcPr>
          <w:p w14:paraId="39526FB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2A94D35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DN d.o.o. </w:t>
            </w:r>
          </w:p>
        </w:tc>
      </w:tr>
      <w:tr w:rsidR="005A0CC1" w:rsidRPr="005A0CC1" w14:paraId="7E8978B7" w14:textId="77777777" w:rsidTr="001C7DE3">
        <w:trPr>
          <w:trHeight w:val="572"/>
          <w:jc w:val="center"/>
        </w:trPr>
        <w:tc>
          <w:tcPr>
            <w:tcW w:w="3964" w:type="dxa"/>
          </w:tcPr>
          <w:p w14:paraId="60C49FA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2.2.2. Smanjenje portfelja razvrgavanjem suvlasničkih zajednica</w:t>
            </w:r>
          </w:p>
        </w:tc>
        <w:tc>
          <w:tcPr>
            <w:tcW w:w="3266" w:type="dxa"/>
          </w:tcPr>
          <w:p w14:paraId="722CC72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sporazuma o razvrgnuću suvlasničke zajednice</w:t>
            </w:r>
          </w:p>
        </w:tc>
        <w:tc>
          <w:tcPr>
            <w:tcW w:w="0" w:type="auto"/>
            <w:vAlign w:val="center"/>
          </w:tcPr>
          <w:p w14:paraId="3AE0A03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64</w:t>
            </w:r>
          </w:p>
        </w:tc>
        <w:tc>
          <w:tcPr>
            <w:tcW w:w="0" w:type="auto"/>
            <w:tcBorders>
              <w:top w:val="single" w:sz="4" w:space="0" w:color="auto"/>
            </w:tcBorders>
            <w:vAlign w:val="center"/>
          </w:tcPr>
          <w:p w14:paraId="5670679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171</w:t>
            </w:r>
          </w:p>
        </w:tc>
        <w:tc>
          <w:tcPr>
            <w:tcW w:w="1884" w:type="dxa"/>
            <w:tcBorders>
              <w:top w:val="single" w:sz="4" w:space="0" w:color="auto"/>
            </w:tcBorders>
            <w:vAlign w:val="center"/>
          </w:tcPr>
          <w:p w14:paraId="314278A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JLP(R)S</w:t>
            </w:r>
          </w:p>
          <w:p w14:paraId="5E1C4B8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DN d.o.o. </w:t>
            </w:r>
          </w:p>
        </w:tc>
      </w:tr>
      <w:tr w:rsidR="005A0CC1" w:rsidRPr="005A0CC1" w14:paraId="276F99F9" w14:textId="77777777" w:rsidTr="001C7DE3">
        <w:trPr>
          <w:trHeight w:val="693"/>
          <w:jc w:val="center"/>
        </w:trPr>
        <w:tc>
          <w:tcPr>
            <w:tcW w:w="3964" w:type="dxa"/>
          </w:tcPr>
          <w:p w14:paraId="7AE8F10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2.2.3. Smanjenje portfelja darovanjem nekretnina**</w:t>
            </w:r>
          </w:p>
        </w:tc>
        <w:tc>
          <w:tcPr>
            <w:tcW w:w="3266" w:type="dxa"/>
          </w:tcPr>
          <w:p w14:paraId="5574613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darovanju nekretnina / prijenosu prava vlasništva nekretnina</w:t>
            </w:r>
          </w:p>
        </w:tc>
        <w:tc>
          <w:tcPr>
            <w:tcW w:w="0" w:type="auto"/>
            <w:vAlign w:val="center"/>
          </w:tcPr>
          <w:p w14:paraId="6CC1EDD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63</w:t>
            </w:r>
          </w:p>
        </w:tc>
        <w:tc>
          <w:tcPr>
            <w:tcW w:w="0" w:type="auto"/>
            <w:vAlign w:val="center"/>
          </w:tcPr>
          <w:p w14:paraId="66CF3FA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163</w:t>
            </w:r>
          </w:p>
        </w:tc>
        <w:tc>
          <w:tcPr>
            <w:tcW w:w="1884" w:type="dxa"/>
            <w:vAlign w:val="center"/>
          </w:tcPr>
          <w:p w14:paraId="37C9D9F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5BC7D1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3B181F2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tc>
      </w:tr>
      <w:tr w:rsidR="005A0CC1" w:rsidRPr="005A0CC1" w14:paraId="17B293B5" w14:textId="77777777" w:rsidTr="001C7DE3">
        <w:trPr>
          <w:trHeight w:val="703"/>
          <w:jc w:val="center"/>
        </w:trPr>
        <w:tc>
          <w:tcPr>
            <w:tcW w:w="3964" w:type="dxa"/>
          </w:tcPr>
          <w:p w14:paraId="7F729C8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2.2.4. Aktivacija neiskorištenih nekretnina osnivanjem prava služnosti</w:t>
            </w:r>
          </w:p>
        </w:tc>
        <w:tc>
          <w:tcPr>
            <w:tcW w:w="3266" w:type="dxa"/>
          </w:tcPr>
          <w:p w14:paraId="6AEBD44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Ukupan broj sklopljenih ugovora o osnivanju prava služnosti (s naknadom i bez naknade)</w:t>
            </w:r>
          </w:p>
        </w:tc>
        <w:tc>
          <w:tcPr>
            <w:tcW w:w="0" w:type="auto"/>
            <w:vAlign w:val="center"/>
          </w:tcPr>
          <w:p w14:paraId="743BEE6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24</w:t>
            </w:r>
          </w:p>
        </w:tc>
        <w:tc>
          <w:tcPr>
            <w:tcW w:w="0" w:type="auto"/>
            <w:vAlign w:val="center"/>
          </w:tcPr>
          <w:p w14:paraId="3A36B9D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224</w:t>
            </w:r>
          </w:p>
        </w:tc>
        <w:tc>
          <w:tcPr>
            <w:tcW w:w="1884" w:type="dxa"/>
            <w:vAlign w:val="center"/>
          </w:tcPr>
          <w:p w14:paraId="6083684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2C4383F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352997D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tc>
      </w:tr>
      <w:tr w:rsidR="005A0CC1" w:rsidRPr="005A0CC1" w14:paraId="463FC846" w14:textId="77777777" w:rsidTr="001C7DE3">
        <w:trPr>
          <w:trHeight w:val="700"/>
          <w:jc w:val="center"/>
        </w:trPr>
        <w:tc>
          <w:tcPr>
            <w:tcW w:w="3964" w:type="dxa"/>
          </w:tcPr>
          <w:p w14:paraId="38D94B9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2.2.5. Aktivacija neiskorištenih nekretnina osnivanjem prava građenja</w:t>
            </w:r>
          </w:p>
        </w:tc>
        <w:tc>
          <w:tcPr>
            <w:tcW w:w="3266" w:type="dxa"/>
          </w:tcPr>
          <w:p w14:paraId="03369D1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Ukupan broj sklopljenih ugovora o osnivanju prava građenja (s naknadom i bez naknade)</w:t>
            </w:r>
          </w:p>
        </w:tc>
        <w:tc>
          <w:tcPr>
            <w:tcW w:w="0" w:type="auto"/>
            <w:vAlign w:val="center"/>
          </w:tcPr>
          <w:p w14:paraId="6135CAD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0" w:type="auto"/>
            <w:vAlign w:val="center"/>
          </w:tcPr>
          <w:p w14:paraId="67B325C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41</w:t>
            </w:r>
          </w:p>
        </w:tc>
        <w:tc>
          <w:tcPr>
            <w:tcW w:w="1884" w:type="dxa"/>
            <w:vAlign w:val="center"/>
          </w:tcPr>
          <w:p w14:paraId="5EBDDA7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34734C3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tc>
      </w:tr>
      <w:tr w:rsidR="005A0CC1" w:rsidRPr="005A0CC1" w14:paraId="5C5F23CA" w14:textId="77777777" w:rsidTr="001C7DE3">
        <w:trPr>
          <w:trHeight w:val="554"/>
          <w:jc w:val="center"/>
        </w:trPr>
        <w:tc>
          <w:tcPr>
            <w:tcW w:w="3964" w:type="dxa"/>
            <w:vMerge w:val="restart"/>
          </w:tcPr>
          <w:p w14:paraId="17F30DA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2.2.6. Aktivacija neiskorištenih nekretnina sklapanjem ugovora o zakupu/najmu nekretnina</w:t>
            </w:r>
          </w:p>
        </w:tc>
        <w:tc>
          <w:tcPr>
            <w:tcW w:w="3266" w:type="dxa"/>
          </w:tcPr>
          <w:p w14:paraId="625FB2E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objavljenih javnih poziva</w:t>
            </w:r>
          </w:p>
        </w:tc>
        <w:tc>
          <w:tcPr>
            <w:tcW w:w="0" w:type="auto"/>
            <w:vAlign w:val="center"/>
          </w:tcPr>
          <w:p w14:paraId="0C5F560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0" w:type="auto"/>
            <w:vAlign w:val="center"/>
          </w:tcPr>
          <w:p w14:paraId="407546E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29</w:t>
            </w:r>
          </w:p>
        </w:tc>
        <w:tc>
          <w:tcPr>
            <w:tcW w:w="1884" w:type="dxa"/>
            <w:vAlign w:val="center"/>
          </w:tcPr>
          <w:p w14:paraId="6E2CFFE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4F6121E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DN d.o.o. </w:t>
            </w:r>
          </w:p>
        </w:tc>
      </w:tr>
      <w:tr w:rsidR="005A0CC1" w:rsidRPr="005A0CC1" w14:paraId="5CC82A2C" w14:textId="77777777" w:rsidTr="001C7DE3">
        <w:trPr>
          <w:trHeight w:val="975"/>
          <w:jc w:val="center"/>
        </w:trPr>
        <w:tc>
          <w:tcPr>
            <w:tcW w:w="3964" w:type="dxa"/>
            <w:vMerge/>
          </w:tcPr>
          <w:p w14:paraId="48ECDA0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3266" w:type="dxa"/>
          </w:tcPr>
          <w:p w14:paraId="4175B3C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B7EED0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zakupu/najmu</w:t>
            </w:r>
          </w:p>
        </w:tc>
        <w:tc>
          <w:tcPr>
            <w:tcW w:w="0" w:type="auto"/>
            <w:vAlign w:val="center"/>
          </w:tcPr>
          <w:p w14:paraId="2F58ED0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792</w:t>
            </w:r>
          </w:p>
        </w:tc>
        <w:tc>
          <w:tcPr>
            <w:tcW w:w="0" w:type="auto"/>
            <w:vAlign w:val="center"/>
          </w:tcPr>
          <w:p w14:paraId="018B0A0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695</w:t>
            </w:r>
          </w:p>
        </w:tc>
        <w:tc>
          <w:tcPr>
            <w:tcW w:w="1884" w:type="dxa"/>
            <w:vAlign w:val="center"/>
          </w:tcPr>
          <w:p w14:paraId="4E0D780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75C18BB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1D18D5A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DN d.o.o. </w:t>
            </w:r>
          </w:p>
        </w:tc>
      </w:tr>
      <w:tr w:rsidR="005A0CC1" w:rsidRPr="005A0CC1" w14:paraId="0312AE13" w14:textId="77777777" w:rsidTr="001C7DE3">
        <w:trPr>
          <w:trHeight w:val="975"/>
          <w:jc w:val="center"/>
        </w:trPr>
        <w:tc>
          <w:tcPr>
            <w:tcW w:w="3964" w:type="dxa"/>
          </w:tcPr>
          <w:p w14:paraId="0606CC0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2.2.7. Sklapanje ugovora o zamjeni nekretnina</w:t>
            </w:r>
          </w:p>
        </w:tc>
        <w:tc>
          <w:tcPr>
            <w:tcW w:w="3266" w:type="dxa"/>
          </w:tcPr>
          <w:p w14:paraId="4DCDED8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zamjeni nekretnina</w:t>
            </w:r>
          </w:p>
        </w:tc>
        <w:tc>
          <w:tcPr>
            <w:tcW w:w="0" w:type="auto"/>
            <w:vAlign w:val="center"/>
          </w:tcPr>
          <w:p w14:paraId="701F1F3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0" w:type="auto"/>
            <w:vAlign w:val="center"/>
          </w:tcPr>
          <w:p w14:paraId="74FDC83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1884" w:type="dxa"/>
            <w:vAlign w:val="center"/>
          </w:tcPr>
          <w:p w14:paraId="46F6BF3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737B3EA6" w14:textId="77777777" w:rsidTr="001C7DE3">
        <w:trPr>
          <w:trHeight w:val="552"/>
          <w:jc w:val="center"/>
        </w:trPr>
        <w:tc>
          <w:tcPr>
            <w:tcW w:w="3964" w:type="dxa"/>
            <w:vMerge w:val="restart"/>
            <w:shd w:val="clear" w:color="auto" w:fill="B4C6E7" w:themeFill="accent1" w:themeFillTint="66"/>
            <w:vAlign w:val="center"/>
          </w:tcPr>
          <w:p w14:paraId="7EACC380"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lastRenderedPageBreak/>
              <w:t>AKTIVNOSTI/</w:t>
            </w:r>
          </w:p>
          <w:p w14:paraId="44D4F2F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3266" w:type="dxa"/>
            <w:vMerge w:val="restart"/>
            <w:shd w:val="clear" w:color="auto" w:fill="B4C6E7" w:themeFill="accent1" w:themeFillTint="66"/>
            <w:vAlign w:val="center"/>
          </w:tcPr>
          <w:p w14:paraId="387A136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0" w:type="auto"/>
            <w:vMerge w:val="restart"/>
            <w:shd w:val="clear" w:color="auto" w:fill="B4C6E7" w:themeFill="accent1" w:themeFillTint="66"/>
            <w:vAlign w:val="center"/>
          </w:tcPr>
          <w:p w14:paraId="3E46FAD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POČETNA VRIJEDNOST*</w:t>
            </w:r>
          </w:p>
        </w:tc>
        <w:tc>
          <w:tcPr>
            <w:tcW w:w="3709" w:type="dxa"/>
            <w:gridSpan w:val="2"/>
            <w:shd w:val="clear" w:color="auto" w:fill="B4C6E7" w:themeFill="accent1" w:themeFillTint="66"/>
            <w:vAlign w:val="center"/>
          </w:tcPr>
          <w:p w14:paraId="4411A1D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PROVEDBA</w:t>
            </w:r>
          </w:p>
        </w:tc>
      </w:tr>
      <w:tr w:rsidR="005A0CC1" w:rsidRPr="005A0CC1" w14:paraId="1C86869F" w14:textId="77777777" w:rsidTr="001C7DE3">
        <w:trPr>
          <w:trHeight w:val="698"/>
          <w:jc w:val="center"/>
        </w:trPr>
        <w:tc>
          <w:tcPr>
            <w:tcW w:w="3964" w:type="dxa"/>
            <w:vMerge/>
            <w:vAlign w:val="center"/>
          </w:tcPr>
          <w:p w14:paraId="5A1F5C5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3266" w:type="dxa"/>
            <w:vMerge/>
            <w:vAlign w:val="center"/>
          </w:tcPr>
          <w:p w14:paraId="00256C9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0" w:type="auto"/>
            <w:vMerge/>
            <w:vAlign w:val="center"/>
          </w:tcPr>
          <w:p w14:paraId="36C2A1A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c>
          <w:tcPr>
            <w:tcW w:w="0" w:type="auto"/>
            <w:shd w:val="clear" w:color="auto" w:fill="B4C6E7" w:themeFill="accent1" w:themeFillTint="66"/>
            <w:vAlign w:val="center"/>
          </w:tcPr>
          <w:p w14:paraId="63C19A7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884" w:type="dxa"/>
            <w:shd w:val="clear" w:color="auto" w:fill="B4C6E7" w:themeFill="accent1" w:themeFillTint="66"/>
            <w:vAlign w:val="center"/>
          </w:tcPr>
          <w:p w14:paraId="154F413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17285170" w14:textId="77777777" w:rsidTr="001C7DE3">
        <w:trPr>
          <w:trHeight w:val="565"/>
          <w:jc w:val="center"/>
        </w:trPr>
        <w:tc>
          <w:tcPr>
            <w:tcW w:w="3964" w:type="dxa"/>
          </w:tcPr>
          <w:p w14:paraId="6FE743D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2.2.8. Aktivacija neiskorištenih nekretnina sklapanjem ugovora o zakupu nekretnina (kampovi)</w:t>
            </w:r>
          </w:p>
        </w:tc>
        <w:tc>
          <w:tcPr>
            <w:tcW w:w="3266" w:type="dxa"/>
          </w:tcPr>
          <w:p w14:paraId="1622BD9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zakupu nekretnina (kampovi)</w:t>
            </w:r>
          </w:p>
        </w:tc>
        <w:tc>
          <w:tcPr>
            <w:tcW w:w="0" w:type="auto"/>
            <w:vAlign w:val="center"/>
          </w:tcPr>
          <w:p w14:paraId="4DD10B8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9</w:t>
            </w:r>
          </w:p>
        </w:tc>
        <w:tc>
          <w:tcPr>
            <w:tcW w:w="0" w:type="auto"/>
            <w:vAlign w:val="center"/>
          </w:tcPr>
          <w:p w14:paraId="67B3E53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5</w:t>
            </w:r>
          </w:p>
        </w:tc>
        <w:tc>
          <w:tcPr>
            <w:tcW w:w="1884" w:type="dxa"/>
            <w:vAlign w:val="center"/>
          </w:tcPr>
          <w:p w14:paraId="7B6CC75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7DEF0D40" w14:textId="77777777" w:rsidTr="001C7DE3">
        <w:trPr>
          <w:trHeight w:val="840"/>
          <w:jc w:val="center"/>
        </w:trPr>
        <w:tc>
          <w:tcPr>
            <w:tcW w:w="3964" w:type="dxa"/>
          </w:tcPr>
          <w:p w14:paraId="00C900D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2.2.9. Aktivacija neiskorištenih nekretnina sklapanjem sporazuma o prijenosu prava upravljanja nekretninama sa MPGI na druga državna tijela</w:t>
            </w:r>
          </w:p>
        </w:tc>
        <w:tc>
          <w:tcPr>
            <w:tcW w:w="3266" w:type="dxa"/>
          </w:tcPr>
          <w:p w14:paraId="3A32191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EF8564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sporazuma o prijenosu prava upravljanja nekretninama</w:t>
            </w:r>
          </w:p>
        </w:tc>
        <w:tc>
          <w:tcPr>
            <w:tcW w:w="0" w:type="auto"/>
            <w:vAlign w:val="center"/>
          </w:tcPr>
          <w:p w14:paraId="0813A4F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14</w:t>
            </w:r>
          </w:p>
        </w:tc>
        <w:tc>
          <w:tcPr>
            <w:tcW w:w="0" w:type="auto"/>
            <w:vAlign w:val="center"/>
          </w:tcPr>
          <w:p w14:paraId="74AC34C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1884" w:type="dxa"/>
            <w:vAlign w:val="center"/>
          </w:tcPr>
          <w:p w14:paraId="0D72889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4B5B2FE7" w14:textId="77777777" w:rsidTr="001C7DE3">
        <w:trPr>
          <w:trHeight w:val="482"/>
          <w:jc w:val="center"/>
        </w:trPr>
        <w:tc>
          <w:tcPr>
            <w:tcW w:w="3964" w:type="dxa"/>
          </w:tcPr>
          <w:p w14:paraId="56DC4EE1" w14:textId="77777777" w:rsidR="005A0CC1" w:rsidRPr="005A0CC1" w:rsidRDefault="005A0CC1" w:rsidP="005A0CC1">
            <w:pPr>
              <w:widowControl/>
              <w:rPr>
                <w:rFonts w:ascii="Times New Roman" w:eastAsia="Aptos" w:hAnsi="Times New Roman" w:cs="Times New Roman"/>
                <w:noProof/>
                <w:color w:val="auto"/>
                <w:kern w:val="2"/>
                <w:sz w:val="20"/>
                <w:szCs w:val="20"/>
                <w:lang w:eastAsia="en-US" w:bidi="ar-SA"/>
                <w14:ligatures w14:val="standardContextual"/>
              </w:rPr>
            </w:pPr>
            <w:r w:rsidRPr="005A0CC1">
              <w:rPr>
                <w:rFonts w:ascii="Times New Roman" w:eastAsia="Aptos" w:hAnsi="Times New Roman" w:cs="Times New Roman"/>
                <w:noProof/>
                <w:color w:val="auto"/>
                <w:kern w:val="2"/>
                <w:sz w:val="20"/>
                <w:szCs w:val="20"/>
                <w:lang w:eastAsia="en-US" w:bidi="ar-SA"/>
                <w14:ligatures w14:val="standardContextual"/>
              </w:rPr>
              <w:t>2.2.10. Smanjenje portfelja izdavanjem tabularnih isprava sukladno članku 61. Zakona</w:t>
            </w:r>
          </w:p>
        </w:tc>
        <w:tc>
          <w:tcPr>
            <w:tcW w:w="3266" w:type="dxa"/>
          </w:tcPr>
          <w:p w14:paraId="5CCAE6AD" w14:textId="77777777" w:rsidR="005A0CC1" w:rsidRPr="005A0CC1" w:rsidRDefault="005A0CC1" w:rsidP="005A0CC1">
            <w:pPr>
              <w:widowControl/>
              <w:rPr>
                <w:rFonts w:ascii="Times New Roman" w:eastAsia="Aptos" w:hAnsi="Times New Roman" w:cs="Times New Roman"/>
                <w:noProof/>
                <w:color w:val="auto"/>
                <w:kern w:val="2"/>
                <w:sz w:val="20"/>
                <w:szCs w:val="20"/>
                <w:lang w:eastAsia="en-US" w:bidi="ar-SA"/>
                <w14:ligatures w14:val="standardContextual"/>
              </w:rPr>
            </w:pPr>
          </w:p>
          <w:p w14:paraId="6F006BFD" w14:textId="77777777" w:rsidR="005A0CC1" w:rsidRPr="005A0CC1" w:rsidRDefault="005A0CC1" w:rsidP="005A0CC1">
            <w:pPr>
              <w:widowControl/>
              <w:rPr>
                <w:rFonts w:ascii="Times New Roman" w:eastAsia="Aptos" w:hAnsi="Times New Roman" w:cs="Times New Roman"/>
                <w:noProof/>
                <w:color w:val="auto"/>
                <w:kern w:val="2"/>
                <w:sz w:val="20"/>
                <w:szCs w:val="20"/>
                <w:lang w:eastAsia="en-US" w:bidi="ar-SA"/>
                <w14:ligatures w14:val="standardContextual"/>
              </w:rPr>
            </w:pPr>
            <w:r w:rsidRPr="005A0CC1">
              <w:rPr>
                <w:rFonts w:ascii="Times New Roman" w:eastAsia="Aptos" w:hAnsi="Times New Roman" w:cs="Times New Roman"/>
                <w:noProof/>
                <w:color w:val="auto"/>
                <w:kern w:val="2"/>
                <w:sz w:val="20"/>
                <w:szCs w:val="20"/>
                <w:lang w:eastAsia="en-US" w:bidi="ar-SA"/>
                <w14:ligatures w14:val="standardContextual"/>
              </w:rPr>
              <w:t>Broj izdanih tabularnih isprava</w:t>
            </w:r>
          </w:p>
        </w:tc>
        <w:tc>
          <w:tcPr>
            <w:tcW w:w="0" w:type="auto"/>
            <w:vAlign w:val="center"/>
          </w:tcPr>
          <w:p w14:paraId="7E3BAD6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w:t>
            </w:r>
          </w:p>
        </w:tc>
        <w:tc>
          <w:tcPr>
            <w:tcW w:w="0" w:type="auto"/>
            <w:vAlign w:val="center"/>
          </w:tcPr>
          <w:p w14:paraId="52779F2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1884" w:type="dxa"/>
            <w:vAlign w:val="center"/>
          </w:tcPr>
          <w:p w14:paraId="5220B20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4F76CAA8" w14:textId="77777777" w:rsidTr="001C7DE3">
        <w:trPr>
          <w:trHeight w:val="1272"/>
          <w:jc w:val="center"/>
        </w:trPr>
        <w:tc>
          <w:tcPr>
            <w:tcW w:w="3964" w:type="dxa"/>
            <w:vMerge w:val="restart"/>
          </w:tcPr>
          <w:p w14:paraId="04499DF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2.2.11. Uređenje imovinsko-pravnih odnosa na neprocijenjenom građevinskom zemljištu</w:t>
            </w:r>
          </w:p>
        </w:tc>
        <w:tc>
          <w:tcPr>
            <w:tcW w:w="3266" w:type="dxa"/>
          </w:tcPr>
          <w:p w14:paraId="173CE50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donesenih rješenja o utvrđenju prava vlasništva na turističkom zemljištu na kojemu su izgrađeni hoteli i turistička naselja, kampovima i ostalom neprocijenjenom građevinskom zemljištu</w:t>
            </w:r>
          </w:p>
        </w:tc>
        <w:tc>
          <w:tcPr>
            <w:tcW w:w="0" w:type="auto"/>
            <w:vAlign w:val="center"/>
          </w:tcPr>
          <w:p w14:paraId="162B9D3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5</w:t>
            </w:r>
          </w:p>
        </w:tc>
        <w:tc>
          <w:tcPr>
            <w:tcW w:w="0" w:type="auto"/>
            <w:vAlign w:val="center"/>
          </w:tcPr>
          <w:p w14:paraId="223AB54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15</w:t>
            </w:r>
          </w:p>
        </w:tc>
        <w:tc>
          <w:tcPr>
            <w:tcW w:w="1884" w:type="dxa"/>
            <w:vAlign w:val="center"/>
          </w:tcPr>
          <w:p w14:paraId="414A038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1F31789D" w14:textId="77777777" w:rsidTr="001C7DE3">
        <w:trPr>
          <w:trHeight w:val="978"/>
          <w:jc w:val="center"/>
        </w:trPr>
        <w:tc>
          <w:tcPr>
            <w:tcW w:w="3964" w:type="dxa"/>
            <w:vMerge/>
          </w:tcPr>
          <w:p w14:paraId="1B495CB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3266" w:type="dxa"/>
          </w:tcPr>
          <w:p w14:paraId="687759A2"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donesenih rješenja kojima se zahtjev za donošenje rješenja o utvrđenju prava vlasništva odbacuje, odbija ili se postupak obustavlja</w:t>
            </w:r>
          </w:p>
        </w:tc>
        <w:tc>
          <w:tcPr>
            <w:tcW w:w="0" w:type="auto"/>
            <w:vAlign w:val="center"/>
          </w:tcPr>
          <w:p w14:paraId="45B684A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25</w:t>
            </w:r>
          </w:p>
        </w:tc>
        <w:tc>
          <w:tcPr>
            <w:tcW w:w="0" w:type="auto"/>
            <w:vAlign w:val="center"/>
          </w:tcPr>
          <w:p w14:paraId="060CBF1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1884" w:type="dxa"/>
            <w:vAlign w:val="center"/>
          </w:tcPr>
          <w:p w14:paraId="320C5BF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4E29A32F" w14:textId="77777777" w:rsidTr="001C7DE3">
        <w:trPr>
          <w:trHeight w:val="695"/>
          <w:jc w:val="center"/>
        </w:trPr>
        <w:tc>
          <w:tcPr>
            <w:tcW w:w="3964" w:type="dxa"/>
          </w:tcPr>
          <w:p w14:paraId="47ECDD0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2.2.12. Pripremne radnje u svrhu utvrđenja mogućnosti za raspolaganje imovinom pod posebnim načinom upravljanja</w:t>
            </w:r>
          </w:p>
        </w:tc>
        <w:tc>
          <w:tcPr>
            <w:tcW w:w="3266" w:type="dxa"/>
          </w:tcPr>
          <w:p w14:paraId="64E72B2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nekretnina u pripremi</w:t>
            </w:r>
          </w:p>
        </w:tc>
        <w:tc>
          <w:tcPr>
            <w:tcW w:w="0" w:type="auto"/>
            <w:vAlign w:val="center"/>
          </w:tcPr>
          <w:p w14:paraId="136F756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0" w:type="auto"/>
            <w:vAlign w:val="center"/>
          </w:tcPr>
          <w:p w14:paraId="35F88C8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1884" w:type="dxa"/>
            <w:vAlign w:val="center"/>
          </w:tcPr>
          <w:p w14:paraId="1B34A84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056E41B5" w14:textId="77777777" w:rsidTr="001C7DE3">
        <w:trPr>
          <w:trHeight w:val="563"/>
          <w:jc w:val="center"/>
        </w:trPr>
        <w:tc>
          <w:tcPr>
            <w:tcW w:w="3964" w:type="dxa"/>
          </w:tcPr>
          <w:p w14:paraId="2E661CA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2.2.13. Investicijsko i tekuće ulaganje</w:t>
            </w:r>
          </w:p>
        </w:tc>
        <w:tc>
          <w:tcPr>
            <w:tcW w:w="3266" w:type="dxa"/>
          </w:tcPr>
          <w:p w14:paraId="1E66706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nekretnina koje su predmet ulaganja (investicijsko i tekuće ulaganje)</w:t>
            </w:r>
          </w:p>
        </w:tc>
        <w:tc>
          <w:tcPr>
            <w:tcW w:w="0" w:type="auto"/>
            <w:vAlign w:val="center"/>
          </w:tcPr>
          <w:p w14:paraId="5AF25C8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367</w:t>
            </w:r>
          </w:p>
        </w:tc>
        <w:tc>
          <w:tcPr>
            <w:tcW w:w="0" w:type="auto"/>
            <w:vAlign w:val="center"/>
          </w:tcPr>
          <w:p w14:paraId="1ED3B93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500</w:t>
            </w:r>
          </w:p>
        </w:tc>
        <w:tc>
          <w:tcPr>
            <w:tcW w:w="1884" w:type="dxa"/>
            <w:vAlign w:val="center"/>
          </w:tcPr>
          <w:p w14:paraId="3B74A86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DN d.o.o.</w:t>
            </w:r>
          </w:p>
        </w:tc>
      </w:tr>
      <w:tr w:rsidR="005A0CC1" w:rsidRPr="005A0CC1" w14:paraId="3284E7C0" w14:textId="77777777" w:rsidTr="001C7DE3">
        <w:trPr>
          <w:trHeight w:val="768"/>
          <w:jc w:val="center"/>
        </w:trPr>
        <w:tc>
          <w:tcPr>
            <w:tcW w:w="3964" w:type="dxa"/>
          </w:tcPr>
          <w:p w14:paraId="71DB63A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2.2.14. Aktivacija neiskorištenih nekretnina provedbom programa </w:t>
            </w:r>
            <w:r w:rsidRPr="005A0CC1">
              <w:rPr>
                <w:rFonts w:ascii="Times New Roman" w:eastAsia="Aptos" w:hAnsi="Times New Roman" w:cs="Times New Roman"/>
                <w:noProof/>
                <w:color w:val="auto"/>
                <w:kern w:val="2"/>
                <w:sz w:val="20"/>
                <w:szCs w:val="20"/>
                <w:lang w:eastAsia="en-US"/>
                <w14:ligatures w14:val="standardContextual"/>
              </w:rPr>
              <w:t>priuštivog stanovanja i programa Statileo</w:t>
            </w:r>
          </w:p>
        </w:tc>
        <w:tc>
          <w:tcPr>
            <w:tcW w:w="3266" w:type="dxa"/>
          </w:tcPr>
          <w:p w14:paraId="088A6ED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14:ligatures w14:val="standardContextual"/>
              </w:rPr>
              <w:t xml:space="preserve">Broj nekretnina uključenih u provedbu </w:t>
            </w:r>
            <w:r w:rsidRPr="005A0CC1">
              <w:rPr>
                <w:rFonts w:ascii="Times New Roman" w:eastAsia="Aptos" w:hAnsi="Times New Roman" w:cs="Times New Roman"/>
                <w:noProof/>
                <w:color w:val="auto"/>
                <w:kern w:val="2"/>
                <w:sz w:val="20"/>
                <w:szCs w:val="20"/>
                <w:lang w:eastAsia="en-US"/>
                <w14:ligatures w14:val="standardContextual"/>
              </w:rPr>
              <w:t>programa priuštivog stanovanja i programa Statileo</w:t>
            </w:r>
          </w:p>
        </w:tc>
        <w:tc>
          <w:tcPr>
            <w:tcW w:w="0" w:type="auto"/>
            <w:vAlign w:val="center"/>
          </w:tcPr>
          <w:p w14:paraId="41CABCB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n/p</w:t>
            </w:r>
          </w:p>
        </w:tc>
        <w:tc>
          <w:tcPr>
            <w:tcW w:w="0" w:type="auto"/>
            <w:vAlign w:val="center"/>
          </w:tcPr>
          <w:p w14:paraId="19B6A26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300</w:t>
            </w:r>
          </w:p>
        </w:tc>
        <w:tc>
          <w:tcPr>
            <w:tcW w:w="1884" w:type="dxa"/>
            <w:vAlign w:val="center"/>
          </w:tcPr>
          <w:p w14:paraId="0E8229A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DN d.o.o.</w:t>
            </w:r>
          </w:p>
        </w:tc>
      </w:tr>
    </w:tbl>
    <w:p w14:paraId="2FBB82CC" w14:textId="77777777" w:rsidR="005A0CC1" w:rsidRPr="005A0CC1" w:rsidRDefault="005A0CC1" w:rsidP="005A0CC1">
      <w:pPr>
        <w:widowControl/>
        <w:ind w:left="567"/>
        <w:jc w:val="both"/>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 xml:space="preserve">Napomene: </w:t>
      </w:r>
    </w:p>
    <w:p w14:paraId="4795A1FA" w14:textId="77777777" w:rsidR="005A0CC1" w:rsidRPr="005A0CC1" w:rsidRDefault="005A0CC1" w:rsidP="005A0CC1">
      <w:pPr>
        <w:widowControl/>
        <w:ind w:left="567" w:right="537"/>
        <w:jc w:val="both"/>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*Početnu vrijednost pokazatelja rezultata predstavlja ostvarena vrijednost na dan 31. prosinca 2025., a ciljanu vrijednost predstavlja planirana vrijednost na dan  31. prosinca 2026.  **Aktivnost 2.2.3. Smanjenje portfelja darovanjem nekretnina</w:t>
      </w:r>
      <w:r w:rsidRPr="005A0CC1">
        <w:rPr>
          <w:rFonts w:ascii="Times New Roman" w:eastAsia="Aptos" w:hAnsi="Times New Roman" w:cs="Times New Roman"/>
          <w:color w:val="auto"/>
          <w:kern w:val="2"/>
          <w:sz w:val="18"/>
          <w:szCs w:val="18"/>
          <w:lang w:eastAsia="en-US"/>
          <w14:ligatures w14:val="standardContextual"/>
        </w:rPr>
        <w:t xml:space="preserve"> je potrebno sagledati u poveznici sa </w:t>
      </w:r>
      <w:r w:rsidRPr="005A0CC1">
        <w:rPr>
          <w:rFonts w:ascii="Times New Roman" w:eastAsia="Aptos" w:hAnsi="Times New Roman" w:cs="Times New Roman"/>
          <w:color w:val="auto"/>
          <w:kern w:val="2"/>
          <w:sz w:val="18"/>
          <w:szCs w:val="18"/>
          <w:lang w:eastAsia="en-US" w:bidi="ar-SA"/>
          <w14:ligatures w14:val="standardContextual"/>
        </w:rPr>
        <w:t>2.3.1. Provedba aktivnosti kojima se potiče gospodarski napredak, socijalna dobrobit građana i ujednačavanje gospodarskog i demografskog razvitka svih krajeva Republike Hrvatske</w:t>
      </w:r>
      <w:r w:rsidRPr="005A0CC1">
        <w:rPr>
          <w:rFonts w:ascii="Times New Roman" w:eastAsia="Aptos" w:hAnsi="Times New Roman" w:cs="Times New Roman"/>
          <w:color w:val="auto"/>
          <w:kern w:val="2"/>
          <w:sz w:val="18"/>
          <w:szCs w:val="18"/>
          <w:lang w:eastAsia="en-US"/>
          <w14:ligatures w14:val="standardContextual"/>
        </w:rPr>
        <w:t>, na stranicama 18 i 19 ovog dokumenta u okviru koje se kroz pokazatelje rezultata prikazuje analitika ugovora o darovanju nekretnina po svrsi strateških ciljeva i javnih politika i programa koje donose daljnji rast, razvoj i stabilnost gospodarstva.</w:t>
      </w:r>
    </w:p>
    <w:tbl>
      <w:tblPr>
        <w:tblStyle w:val="Reetkatablice2"/>
        <w:tblW w:w="13466" w:type="dxa"/>
        <w:tblInd w:w="279" w:type="dxa"/>
        <w:tblLook w:val="04A0" w:firstRow="1" w:lastRow="0" w:firstColumn="1" w:lastColumn="0" w:noHBand="0" w:noVBand="1"/>
      </w:tblPr>
      <w:tblGrid>
        <w:gridCol w:w="3532"/>
        <w:gridCol w:w="2988"/>
        <w:gridCol w:w="1843"/>
        <w:gridCol w:w="1843"/>
        <w:gridCol w:w="3260"/>
      </w:tblGrid>
      <w:tr w:rsidR="005A0CC1" w:rsidRPr="005A0CC1" w14:paraId="223BB69A" w14:textId="77777777" w:rsidTr="001C7DE3">
        <w:trPr>
          <w:trHeight w:val="924"/>
        </w:trPr>
        <w:tc>
          <w:tcPr>
            <w:tcW w:w="13466" w:type="dxa"/>
            <w:gridSpan w:val="5"/>
            <w:shd w:val="clear" w:color="auto" w:fill="B4C6E7" w:themeFill="accent1" w:themeFillTint="66"/>
            <w:vAlign w:val="center"/>
          </w:tcPr>
          <w:p w14:paraId="5273D3CD"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lastRenderedPageBreak/>
              <w:t>STRATEŠKI CILJ 2: Učinkovito upravljanje nekretninama koje nisu od strateškog značaja za Republiku Hrvatsku</w:t>
            </w:r>
          </w:p>
          <w:p w14:paraId="4091537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2.3. Jačanje doprinosa upravljanja nekretninama ostvarenju strateških ciljeva i javnih politika i programa koje donose daljnji rast, razvoj i stabilnost gospodarstva</w:t>
            </w:r>
          </w:p>
        </w:tc>
      </w:tr>
      <w:tr w:rsidR="005A0CC1" w:rsidRPr="005A0CC1" w14:paraId="142492A9" w14:textId="77777777" w:rsidTr="001C7DE3">
        <w:trPr>
          <w:trHeight w:val="924"/>
        </w:trPr>
        <w:tc>
          <w:tcPr>
            <w:tcW w:w="3532" w:type="dxa"/>
            <w:shd w:val="clear" w:color="auto" w:fill="B4C6E7" w:themeFill="accent1" w:themeFillTint="66"/>
            <w:vAlign w:val="center"/>
          </w:tcPr>
          <w:p w14:paraId="67D8F88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09C330EF" w14:textId="77777777" w:rsidR="005A0CC1" w:rsidRPr="005A0CC1" w:rsidRDefault="005A0CC1" w:rsidP="005A0CC1">
            <w:pPr>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2988" w:type="dxa"/>
            <w:shd w:val="clear" w:color="auto" w:fill="B4C6E7" w:themeFill="accent1" w:themeFillTint="66"/>
            <w:vAlign w:val="center"/>
            <w:hideMark/>
          </w:tcPr>
          <w:p w14:paraId="2038E4C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843" w:type="dxa"/>
            <w:shd w:val="clear" w:color="auto" w:fill="B4C6E7" w:themeFill="accent1" w:themeFillTint="66"/>
            <w:vAlign w:val="center"/>
            <w:hideMark/>
          </w:tcPr>
          <w:p w14:paraId="41ADFA6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843" w:type="dxa"/>
            <w:shd w:val="clear" w:color="auto" w:fill="B4C6E7" w:themeFill="accent1" w:themeFillTint="66"/>
            <w:vAlign w:val="center"/>
            <w:hideMark/>
          </w:tcPr>
          <w:p w14:paraId="4A6C96F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3260" w:type="dxa"/>
            <w:shd w:val="clear" w:color="auto" w:fill="B4C6E7" w:themeFill="accent1" w:themeFillTint="66"/>
            <w:vAlign w:val="center"/>
            <w:hideMark/>
          </w:tcPr>
          <w:p w14:paraId="42E84F2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w:t>
            </w:r>
          </w:p>
          <w:p w14:paraId="6530972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PROVEDBE</w:t>
            </w:r>
          </w:p>
        </w:tc>
      </w:tr>
      <w:tr w:rsidR="005A0CC1" w:rsidRPr="005A0CC1" w14:paraId="2E40B8B4" w14:textId="77777777" w:rsidTr="001C7DE3">
        <w:trPr>
          <w:trHeight w:val="823"/>
        </w:trPr>
        <w:tc>
          <w:tcPr>
            <w:tcW w:w="3532" w:type="dxa"/>
            <w:vMerge w:val="restart"/>
          </w:tcPr>
          <w:p w14:paraId="5A1B13C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2.3.1. Provedba aktivnosti kojima se potiče gospodarski napredak, socijalna dobrobit građana i ujednačavanje gospodarskog i demografskog razvitka svih krajeva Republike Hrvatske</w:t>
            </w:r>
          </w:p>
        </w:tc>
        <w:tc>
          <w:tcPr>
            <w:tcW w:w="2988" w:type="dxa"/>
          </w:tcPr>
          <w:p w14:paraId="5BD327A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Broj ugovora kojima se pridonosi ostvarenju projekata poduzetničke infrastrukture </w:t>
            </w:r>
          </w:p>
        </w:tc>
        <w:tc>
          <w:tcPr>
            <w:tcW w:w="1843" w:type="dxa"/>
            <w:vAlign w:val="center"/>
          </w:tcPr>
          <w:p w14:paraId="4EA490B3" w14:textId="77777777" w:rsidR="005A0CC1" w:rsidRPr="005A0CC1" w:rsidRDefault="005A0CC1" w:rsidP="005A0CC1">
            <w:pPr>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1</w:t>
            </w:r>
          </w:p>
        </w:tc>
        <w:tc>
          <w:tcPr>
            <w:tcW w:w="1843" w:type="dxa"/>
            <w:vAlign w:val="center"/>
          </w:tcPr>
          <w:p w14:paraId="1A4FFFD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25</w:t>
            </w:r>
          </w:p>
        </w:tc>
        <w:tc>
          <w:tcPr>
            <w:tcW w:w="3260" w:type="dxa"/>
            <w:vAlign w:val="center"/>
            <w:hideMark/>
          </w:tcPr>
          <w:p w14:paraId="0A179D2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46F488C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2E31240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r>
      <w:tr w:rsidR="005A0CC1" w:rsidRPr="005A0CC1" w14:paraId="39331EA2" w14:textId="77777777" w:rsidTr="001C7DE3">
        <w:trPr>
          <w:trHeight w:val="979"/>
        </w:trPr>
        <w:tc>
          <w:tcPr>
            <w:tcW w:w="3532" w:type="dxa"/>
            <w:vMerge/>
          </w:tcPr>
          <w:p w14:paraId="03FA8AC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3DAB201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provođenju projekata i planova zaštite prirode (očuvanje/obnove bioraznolikosti, poučavanje o zaštiti, istraživanje zaštićenih područja i sl.)</w:t>
            </w:r>
          </w:p>
        </w:tc>
        <w:tc>
          <w:tcPr>
            <w:tcW w:w="1843" w:type="dxa"/>
            <w:vAlign w:val="center"/>
          </w:tcPr>
          <w:p w14:paraId="68FB728A" w14:textId="77777777" w:rsidR="005A0CC1" w:rsidRPr="005A0CC1" w:rsidRDefault="005A0CC1" w:rsidP="005A0CC1">
            <w:pPr>
              <w:widowControl/>
              <w:jc w:val="center"/>
              <w:rPr>
                <w:rFonts w:ascii="Times New Roman" w:eastAsia="Aptos" w:hAnsi="Times New Roman" w:cs="Times New Roman"/>
                <w:color w:val="auto"/>
                <w:kern w:val="2"/>
                <w:sz w:val="20"/>
                <w:szCs w:val="20"/>
                <w:highlight w:val="yellow"/>
                <w:lang w:eastAsia="en-US" w:bidi="ar-SA"/>
                <w14:ligatures w14:val="standardContextual"/>
              </w:rPr>
            </w:pPr>
            <w:r w:rsidRPr="005A0CC1">
              <w:rPr>
                <w:rFonts w:ascii="Times New Roman" w:hAnsi="Times New Roman" w:cs="Times New Roman"/>
                <w:color w:val="auto"/>
                <w:sz w:val="20"/>
                <w:szCs w:val="20"/>
              </w:rPr>
              <w:t>0</w:t>
            </w:r>
          </w:p>
        </w:tc>
        <w:tc>
          <w:tcPr>
            <w:tcW w:w="1843" w:type="dxa"/>
            <w:vAlign w:val="center"/>
          </w:tcPr>
          <w:p w14:paraId="116603F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w:t>
            </w:r>
          </w:p>
        </w:tc>
        <w:tc>
          <w:tcPr>
            <w:tcW w:w="3260" w:type="dxa"/>
            <w:vAlign w:val="center"/>
          </w:tcPr>
          <w:p w14:paraId="11B2901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0A4EA42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05FBAE2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2353F28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668C8E1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r>
      <w:tr w:rsidR="005A0CC1" w:rsidRPr="005A0CC1" w14:paraId="7F71B3AD" w14:textId="77777777" w:rsidTr="001C7DE3">
        <w:trPr>
          <w:trHeight w:val="1842"/>
        </w:trPr>
        <w:tc>
          <w:tcPr>
            <w:tcW w:w="3532" w:type="dxa"/>
            <w:vMerge/>
          </w:tcPr>
          <w:p w14:paraId="792AFB6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00FA798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ostvarenju projekata koji su od općeg javnog, socijalnog ili kulturnog interesa (npr. izgradnje škola, dječjih vrtića, bolnica, domova zdravlja, građevina socijalne skrbi, groblja, parkirališta, sportskih građevina, građevina za smještaj i zaštitu životinja, muzeja, memorijalnih centara i drugih sličnih građevina)</w:t>
            </w:r>
          </w:p>
        </w:tc>
        <w:tc>
          <w:tcPr>
            <w:tcW w:w="1843" w:type="dxa"/>
            <w:shd w:val="clear" w:color="auto" w:fill="FFFFFF" w:themeFill="background1"/>
            <w:vAlign w:val="center"/>
          </w:tcPr>
          <w:p w14:paraId="2414056F" w14:textId="77777777" w:rsidR="005A0CC1" w:rsidRPr="005A0CC1" w:rsidRDefault="005A0CC1" w:rsidP="005A0CC1">
            <w:pPr>
              <w:widowControl/>
              <w:jc w:val="center"/>
              <w:rPr>
                <w:rFonts w:ascii="Times New Roman" w:eastAsia="Aptos" w:hAnsi="Times New Roman" w:cs="Times New Roman"/>
                <w:color w:val="auto"/>
                <w:kern w:val="2"/>
                <w:sz w:val="20"/>
                <w:szCs w:val="20"/>
                <w:highlight w:val="yellow"/>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28</w:t>
            </w:r>
          </w:p>
        </w:tc>
        <w:tc>
          <w:tcPr>
            <w:tcW w:w="1843" w:type="dxa"/>
            <w:vAlign w:val="center"/>
          </w:tcPr>
          <w:p w14:paraId="2F21365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75</w:t>
            </w:r>
          </w:p>
        </w:tc>
        <w:tc>
          <w:tcPr>
            <w:tcW w:w="3260" w:type="dxa"/>
            <w:vAlign w:val="center"/>
            <w:hideMark/>
          </w:tcPr>
          <w:p w14:paraId="282D68E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711D385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09077DC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r>
      <w:tr w:rsidR="005A0CC1" w:rsidRPr="005A0CC1" w14:paraId="4E20FB99" w14:textId="77777777" w:rsidTr="001C7DE3">
        <w:trPr>
          <w:trHeight w:val="843"/>
        </w:trPr>
        <w:tc>
          <w:tcPr>
            <w:tcW w:w="3532" w:type="dxa"/>
            <w:vMerge/>
          </w:tcPr>
          <w:p w14:paraId="4806F95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4E997F5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ostvarenju projekata izgradnje poslovne i druge infrastrukture od osobitog značaja za gospodarski razvoj</w:t>
            </w:r>
          </w:p>
        </w:tc>
        <w:tc>
          <w:tcPr>
            <w:tcW w:w="1843" w:type="dxa"/>
            <w:vAlign w:val="center"/>
          </w:tcPr>
          <w:p w14:paraId="71B7E20E" w14:textId="77777777" w:rsidR="005A0CC1" w:rsidRPr="005A0CC1" w:rsidRDefault="005A0CC1" w:rsidP="005A0CC1">
            <w:pPr>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23</w:t>
            </w:r>
          </w:p>
        </w:tc>
        <w:tc>
          <w:tcPr>
            <w:tcW w:w="1843" w:type="dxa"/>
            <w:vAlign w:val="center"/>
          </w:tcPr>
          <w:p w14:paraId="36683A0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w:t>
            </w:r>
          </w:p>
        </w:tc>
        <w:tc>
          <w:tcPr>
            <w:tcW w:w="3260" w:type="dxa"/>
            <w:vAlign w:val="center"/>
          </w:tcPr>
          <w:p w14:paraId="578723F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767C8E0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2360A83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r>
      <w:tr w:rsidR="005A0CC1" w:rsidRPr="005A0CC1" w14:paraId="3D5B115B" w14:textId="77777777" w:rsidTr="001C7DE3">
        <w:trPr>
          <w:trHeight w:val="833"/>
        </w:trPr>
        <w:tc>
          <w:tcPr>
            <w:tcW w:w="3532" w:type="dxa"/>
            <w:vMerge/>
          </w:tcPr>
          <w:p w14:paraId="6261055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3F16652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provođenju programa stambenog zbrinjavanja i društveno poticane stanogradnje</w:t>
            </w:r>
          </w:p>
        </w:tc>
        <w:tc>
          <w:tcPr>
            <w:tcW w:w="1843" w:type="dxa"/>
          </w:tcPr>
          <w:p w14:paraId="593413E9" w14:textId="77777777" w:rsidR="005A0CC1" w:rsidRPr="005A0CC1" w:rsidRDefault="005A0CC1" w:rsidP="005A0CC1">
            <w:pPr>
              <w:jc w:val="center"/>
              <w:rPr>
                <w:rFonts w:ascii="Times New Roman" w:hAnsi="Times New Roman" w:cs="Times New Roman"/>
                <w:color w:val="auto"/>
                <w:sz w:val="20"/>
                <w:szCs w:val="20"/>
              </w:rPr>
            </w:pPr>
          </w:p>
          <w:p w14:paraId="3DECC40F" w14:textId="77777777" w:rsidR="005A0CC1" w:rsidRPr="005A0CC1" w:rsidRDefault="005A0CC1" w:rsidP="005A0CC1">
            <w:pPr>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3</w:t>
            </w:r>
          </w:p>
        </w:tc>
        <w:tc>
          <w:tcPr>
            <w:tcW w:w="1843" w:type="dxa"/>
          </w:tcPr>
          <w:p w14:paraId="3F2A5B4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6FD695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11</w:t>
            </w:r>
          </w:p>
        </w:tc>
        <w:tc>
          <w:tcPr>
            <w:tcW w:w="3260" w:type="dxa"/>
          </w:tcPr>
          <w:p w14:paraId="52C0378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331F23F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MPGI </w:t>
            </w:r>
          </w:p>
          <w:p w14:paraId="4CB3801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JLP(R)S </w:t>
            </w:r>
          </w:p>
          <w:p w14:paraId="1D46BA0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tc>
      </w:tr>
      <w:tr w:rsidR="005A0CC1" w:rsidRPr="005A0CC1" w14:paraId="784DBF53" w14:textId="77777777" w:rsidTr="001C7DE3">
        <w:trPr>
          <w:trHeight w:val="481"/>
        </w:trPr>
        <w:tc>
          <w:tcPr>
            <w:tcW w:w="3532" w:type="dxa"/>
            <w:vMerge/>
          </w:tcPr>
          <w:p w14:paraId="69B5AB1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7971AC27" w14:textId="77777777" w:rsidR="005A0CC1" w:rsidRPr="005A0CC1" w:rsidRDefault="005A0CC1" w:rsidP="005A0CC1">
            <w:pPr>
              <w:widowControl/>
              <w:rPr>
                <w:rFonts w:ascii="Times New Roman" w:eastAsia="Aptos" w:hAnsi="Times New Roman" w:cs="Times New Roman"/>
                <w:color w:val="auto"/>
                <w:kern w:val="2"/>
                <w:sz w:val="20"/>
                <w:szCs w:val="20"/>
                <w:highlight w:val="yellow"/>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ostvarenju projekata ulaganja u skladu s posebnim zakonom</w:t>
            </w:r>
          </w:p>
        </w:tc>
        <w:tc>
          <w:tcPr>
            <w:tcW w:w="1843" w:type="dxa"/>
            <w:vAlign w:val="center"/>
          </w:tcPr>
          <w:p w14:paraId="18E65EB7" w14:textId="77777777" w:rsidR="005A0CC1" w:rsidRPr="005A0CC1" w:rsidRDefault="005A0CC1" w:rsidP="005A0CC1">
            <w:pPr>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2</w:t>
            </w:r>
          </w:p>
        </w:tc>
        <w:tc>
          <w:tcPr>
            <w:tcW w:w="1843" w:type="dxa"/>
            <w:vAlign w:val="center"/>
          </w:tcPr>
          <w:p w14:paraId="58CC406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8</w:t>
            </w:r>
          </w:p>
        </w:tc>
        <w:tc>
          <w:tcPr>
            <w:tcW w:w="3260" w:type="dxa"/>
            <w:vAlign w:val="center"/>
          </w:tcPr>
          <w:p w14:paraId="2ECFE33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JLP(R)S</w:t>
            </w:r>
          </w:p>
        </w:tc>
      </w:tr>
      <w:tr w:rsidR="005A0CC1" w:rsidRPr="005A0CC1" w14:paraId="7C9D512D" w14:textId="77777777" w:rsidTr="001C7DE3">
        <w:trPr>
          <w:trHeight w:val="708"/>
        </w:trPr>
        <w:tc>
          <w:tcPr>
            <w:tcW w:w="3532" w:type="dxa"/>
            <w:shd w:val="clear" w:color="auto" w:fill="B4C6E7" w:themeFill="accent1" w:themeFillTint="66"/>
            <w:vAlign w:val="center"/>
          </w:tcPr>
          <w:p w14:paraId="59B1D261"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lastRenderedPageBreak/>
              <w:t>AKTIVNOSTI/</w:t>
            </w:r>
          </w:p>
          <w:p w14:paraId="15E0BD9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2988" w:type="dxa"/>
            <w:shd w:val="clear" w:color="auto" w:fill="B4C6E7" w:themeFill="accent1" w:themeFillTint="66"/>
            <w:vAlign w:val="center"/>
          </w:tcPr>
          <w:p w14:paraId="69D50D7C"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1843" w:type="dxa"/>
            <w:shd w:val="clear" w:color="auto" w:fill="B4C6E7" w:themeFill="accent1" w:themeFillTint="66"/>
            <w:vAlign w:val="center"/>
          </w:tcPr>
          <w:p w14:paraId="2D733586" w14:textId="77777777" w:rsidR="005A0CC1" w:rsidRPr="005A0CC1" w:rsidRDefault="005A0CC1" w:rsidP="005A0CC1">
            <w:pPr>
              <w:jc w:val="center"/>
              <w:rPr>
                <w:rFonts w:ascii="Times New Roman" w:hAnsi="Times New Roman" w:cs="Times New Roman"/>
                <w:color w:val="auto"/>
                <w:sz w:val="20"/>
                <w:szCs w:val="20"/>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1843" w:type="dxa"/>
            <w:shd w:val="clear" w:color="auto" w:fill="B4C6E7" w:themeFill="accent1" w:themeFillTint="66"/>
            <w:vAlign w:val="center"/>
          </w:tcPr>
          <w:p w14:paraId="37D9299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3260" w:type="dxa"/>
            <w:shd w:val="clear" w:color="auto" w:fill="B4C6E7" w:themeFill="accent1" w:themeFillTint="66"/>
            <w:vAlign w:val="center"/>
          </w:tcPr>
          <w:p w14:paraId="211DBD3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w:t>
            </w:r>
          </w:p>
          <w:p w14:paraId="0CF05FF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PROVEDBE</w:t>
            </w:r>
          </w:p>
        </w:tc>
      </w:tr>
      <w:tr w:rsidR="005A0CC1" w:rsidRPr="005A0CC1" w14:paraId="22046710" w14:textId="77777777" w:rsidTr="001C7DE3">
        <w:trPr>
          <w:trHeight w:val="708"/>
        </w:trPr>
        <w:tc>
          <w:tcPr>
            <w:tcW w:w="3532" w:type="dxa"/>
            <w:vMerge w:val="restart"/>
          </w:tcPr>
          <w:p w14:paraId="3A40272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2.3.1. Provedba aktivnosti kojima se potiče gospodarski napredak, socijalna dobrobit građana i ujednačavanje gospodarskog i demografskog razvitka svih krajeva Republike Hrvatske</w:t>
            </w:r>
          </w:p>
        </w:tc>
        <w:tc>
          <w:tcPr>
            <w:tcW w:w="2988" w:type="dxa"/>
          </w:tcPr>
          <w:p w14:paraId="4A29F98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provođenju programa integracije osoba s invaliditetom u društvo</w:t>
            </w:r>
          </w:p>
        </w:tc>
        <w:tc>
          <w:tcPr>
            <w:tcW w:w="1843" w:type="dxa"/>
            <w:vAlign w:val="center"/>
          </w:tcPr>
          <w:p w14:paraId="47567008" w14:textId="77777777" w:rsidR="005A0CC1" w:rsidRPr="005A0CC1" w:rsidRDefault="005A0CC1" w:rsidP="005A0CC1">
            <w:pPr>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0</w:t>
            </w:r>
          </w:p>
        </w:tc>
        <w:tc>
          <w:tcPr>
            <w:tcW w:w="1843" w:type="dxa"/>
            <w:vAlign w:val="center"/>
          </w:tcPr>
          <w:p w14:paraId="5A14C16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3260" w:type="dxa"/>
            <w:vAlign w:val="center"/>
          </w:tcPr>
          <w:p w14:paraId="694BF50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JLP(R)S</w:t>
            </w:r>
          </w:p>
        </w:tc>
      </w:tr>
      <w:tr w:rsidR="005A0CC1" w:rsidRPr="005A0CC1" w14:paraId="3A3D4803" w14:textId="77777777" w:rsidTr="001C7DE3">
        <w:trPr>
          <w:trHeight w:val="708"/>
        </w:trPr>
        <w:tc>
          <w:tcPr>
            <w:tcW w:w="3532" w:type="dxa"/>
            <w:vMerge/>
          </w:tcPr>
          <w:p w14:paraId="1DF28FE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7D87688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provođenju planova gospodarenja otpadom</w:t>
            </w:r>
          </w:p>
        </w:tc>
        <w:tc>
          <w:tcPr>
            <w:tcW w:w="1843" w:type="dxa"/>
            <w:vAlign w:val="center"/>
          </w:tcPr>
          <w:p w14:paraId="4EC12A0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6</w:t>
            </w:r>
          </w:p>
        </w:tc>
        <w:tc>
          <w:tcPr>
            <w:tcW w:w="1843" w:type="dxa"/>
            <w:vAlign w:val="center"/>
          </w:tcPr>
          <w:p w14:paraId="6376307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15</w:t>
            </w:r>
          </w:p>
        </w:tc>
        <w:tc>
          <w:tcPr>
            <w:tcW w:w="3260" w:type="dxa"/>
            <w:vAlign w:val="center"/>
          </w:tcPr>
          <w:p w14:paraId="482E7B4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JLP(R)S</w:t>
            </w:r>
          </w:p>
        </w:tc>
      </w:tr>
      <w:tr w:rsidR="005A0CC1" w:rsidRPr="005A0CC1" w14:paraId="5CAFCC39" w14:textId="77777777" w:rsidTr="001C7DE3">
        <w:trPr>
          <w:trHeight w:val="708"/>
        </w:trPr>
        <w:tc>
          <w:tcPr>
            <w:tcW w:w="3532" w:type="dxa"/>
            <w:vMerge/>
          </w:tcPr>
          <w:p w14:paraId="5C006B6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2988" w:type="dxa"/>
          </w:tcPr>
          <w:p w14:paraId="1725908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ugovora o provođenju operativnih programa Vlade Republike Hrvatske za nacionalne manjine</w:t>
            </w:r>
          </w:p>
        </w:tc>
        <w:tc>
          <w:tcPr>
            <w:tcW w:w="1843" w:type="dxa"/>
            <w:vAlign w:val="center"/>
          </w:tcPr>
          <w:p w14:paraId="172789A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hAnsi="Times New Roman" w:cs="Times New Roman"/>
                <w:color w:val="auto"/>
                <w:sz w:val="20"/>
                <w:szCs w:val="20"/>
              </w:rPr>
              <w:t>1</w:t>
            </w:r>
          </w:p>
        </w:tc>
        <w:tc>
          <w:tcPr>
            <w:tcW w:w="1843" w:type="dxa"/>
            <w:vAlign w:val="center"/>
          </w:tcPr>
          <w:p w14:paraId="62D7AA7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3260" w:type="dxa"/>
            <w:vAlign w:val="center"/>
          </w:tcPr>
          <w:p w14:paraId="06B4AF2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JLP(R)S</w:t>
            </w:r>
          </w:p>
        </w:tc>
      </w:tr>
    </w:tbl>
    <w:p w14:paraId="5F3A7FDF"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 xml:space="preserve">      Napomena: Početnu vrijednost pokazatelja rezultata predstavlja ostvarena vrijednost na dan 31. prosinca 2025., a ciljanu vrijednost predstavlja planirana vrijednost na dan 31. prosinca 2026.</w:t>
      </w:r>
    </w:p>
    <w:p w14:paraId="62486DB2"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p w14:paraId="0FA51DC8"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p w14:paraId="4C744C82"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tbl>
      <w:tblPr>
        <w:tblStyle w:val="Reetkatablice2"/>
        <w:tblW w:w="4811" w:type="pct"/>
        <w:tblInd w:w="279" w:type="dxa"/>
        <w:tblLook w:val="04A0" w:firstRow="1" w:lastRow="0" w:firstColumn="1" w:lastColumn="0" w:noHBand="0" w:noVBand="1"/>
      </w:tblPr>
      <w:tblGrid>
        <w:gridCol w:w="3543"/>
        <w:gridCol w:w="2976"/>
        <w:gridCol w:w="1842"/>
        <w:gridCol w:w="1845"/>
        <w:gridCol w:w="3259"/>
      </w:tblGrid>
      <w:tr w:rsidR="005A0CC1" w:rsidRPr="005A0CC1" w14:paraId="05FC9488" w14:textId="77777777" w:rsidTr="001C7DE3">
        <w:trPr>
          <w:trHeight w:val="673"/>
        </w:trPr>
        <w:tc>
          <w:tcPr>
            <w:tcW w:w="5000" w:type="pct"/>
            <w:gridSpan w:val="5"/>
            <w:shd w:val="clear" w:color="auto" w:fill="B4C6E7" w:themeFill="accent1" w:themeFillTint="66"/>
          </w:tcPr>
          <w:p w14:paraId="24A802AD"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3: Učinkovito upravljanje nekretninama u vlasništvu Republike Hrvatske za ispunjenje administrativnih potreba korisnika državnog proračuna</w:t>
            </w:r>
          </w:p>
          <w:p w14:paraId="5C7B6C74"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3.1. Utvrđivanje potreba za smještajem tijela državne uprave i drugih korisnika državnog proračuna</w:t>
            </w:r>
          </w:p>
        </w:tc>
      </w:tr>
      <w:tr w:rsidR="005A0CC1" w:rsidRPr="005A0CC1" w14:paraId="2ACD25E7" w14:textId="77777777" w:rsidTr="001C7DE3">
        <w:trPr>
          <w:trHeight w:val="763"/>
        </w:trPr>
        <w:tc>
          <w:tcPr>
            <w:tcW w:w="1316" w:type="pct"/>
            <w:shd w:val="clear" w:color="auto" w:fill="B4C6E7" w:themeFill="accent1" w:themeFillTint="66"/>
            <w:vAlign w:val="center"/>
            <w:hideMark/>
          </w:tcPr>
          <w:p w14:paraId="45DAD89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77B3A84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105" w:type="pct"/>
            <w:shd w:val="clear" w:color="auto" w:fill="B4C6E7" w:themeFill="accent1" w:themeFillTint="66"/>
            <w:vAlign w:val="center"/>
            <w:hideMark/>
          </w:tcPr>
          <w:p w14:paraId="424C08C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684" w:type="pct"/>
            <w:shd w:val="clear" w:color="auto" w:fill="B4C6E7" w:themeFill="accent1" w:themeFillTint="66"/>
            <w:vAlign w:val="center"/>
            <w:hideMark/>
          </w:tcPr>
          <w:p w14:paraId="79F8C74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685" w:type="pct"/>
            <w:shd w:val="clear" w:color="auto" w:fill="B4C6E7" w:themeFill="accent1" w:themeFillTint="66"/>
            <w:vAlign w:val="center"/>
            <w:hideMark/>
          </w:tcPr>
          <w:p w14:paraId="5801CF99"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210" w:type="pct"/>
            <w:shd w:val="clear" w:color="auto" w:fill="B4C6E7" w:themeFill="accent1" w:themeFillTint="66"/>
            <w:vAlign w:val="center"/>
          </w:tcPr>
          <w:p w14:paraId="5886147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137A3D7A" w14:textId="77777777" w:rsidTr="001C7DE3">
        <w:trPr>
          <w:trHeight w:val="1085"/>
        </w:trPr>
        <w:tc>
          <w:tcPr>
            <w:tcW w:w="1316" w:type="pct"/>
          </w:tcPr>
          <w:p w14:paraId="1B33D9A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F30864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3.1.1. Analiza potreba za smještajem TDU i drugih korisnika državnog proračuna</w:t>
            </w:r>
          </w:p>
        </w:tc>
        <w:tc>
          <w:tcPr>
            <w:tcW w:w="1105" w:type="pct"/>
          </w:tcPr>
          <w:p w14:paraId="739BF94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 popis kojim se utvrđuju stvarne potrebe za smještajem TDU i drugih korisnika državnog proračuna (ažuriranje popisa jednom godišnje)</w:t>
            </w:r>
          </w:p>
        </w:tc>
        <w:tc>
          <w:tcPr>
            <w:tcW w:w="684" w:type="pct"/>
            <w:vAlign w:val="center"/>
          </w:tcPr>
          <w:p w14:paraId="41B70E6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685" w:type="pct"/>
            <w:vAlign w:val="center"/>
          </w:tcPr>
          <w:p w14:paraId="26B172B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1210" w:type="pct"/>
          </w:tcPr>
          <w:p w14:paraId="0089DD4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3F997C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5940514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53952565"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 xml:space="preserve">      Napomena: Početnu vrijednost pokazatelja rezultata predstavlja ostvarena vrijednost na dan 31. prosinca 2025., a ciljanu vrijednost predstavlja planirana vrijednost na dan 31. prosinca 2026.</w:t>
      </w:r>
    </w:p>
    <w:p w14:paraId="1BC876C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74805C2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bl>
      <w:tblPr>
        <w:tblStyle w:val="Reetkatablice2"/>
        <w:tblW w:w="5000" w:type="pct"/>
        <w:tblInd w:w="-5" w:type="dxa"/>
        <w:tblLook w:val="04A0" w:firstRow="1" w:lastRow="0" w:firstColumn="1" w:lastColumn="0" w:noHBand="0" w:noVBand="1"/>
      </w:tblPr>
      <w:tblGrid>
        <w:gridCol w:w="3825"/>
        <w:gridCol w:w="2975"/>
        <w:gridCol w:w="1842"/>
        <w:gridCol w:w="1982"/>
        <w:gridCol w:w="3370"/>
      </w:tblGrid>
      <w:tr w:rsidR="005A0CC1" w:rsidRPr="005A0CC1" w14:paraId="574EED30" w14:textId="77777777" w:rsidTr="001C7DE3">
        <w:trPr>
          <w:trHeight w:val="1186"/>
        </w:trPr>
        <w:tc>
          <w:tcPr>
            <w:tcW w:w="5000" w:type="pct"/>
            <w:gridSpan w:val="5"/>
            <w:shd w:val="clear" w:color="auto" w:fill="B4C6E7" w:themeFill="accent1" w:themeFillTint="66"/>
          </w:tcPr>
          <w:p w14:paraId="7B5CD534"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lastRenderedPageBreak/>
              <w:t>STRATEŠKI CILJ 3: Učinkovito upravljanje nekretninama u vlasništvu Republike Hrvatske za ispunjenje administrativnih potreba korisnika državnog proračuna</w:t>
            </w:r>
          </w:p>
          <w:p w14:paraId="336C2833"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3.2. Ulaganje u nekretnine u vlasništvu Republike Hrvatske u funkciji ostvarenja administrativnih potreba tijela državne uprave i drugih korisnika državnog proračuna</w:t>
            </w:r>
          </w:p>
        </w:tc>
      </w:tr>
      <w:tr w:rsidR="005A0CC1" w:rsidRPr="005A0CC1" w14:paraId="22DD7979" w14:textId="77777777" w:rsidTr="001C7DE3">
        <w:trPr>
          <w:trHeight w:val="913"/>
        </w:trPr>
        <w:tc>
          <w:tcPr>
            <w:tcW w:w="1367" w:type="pct"/>
            <w:shd w:val="clear" w:color="auto" w:fill="B4C6E7" w:themeFill="accent1" w:themeFillTint="66"/>
            <w:vAlign w:val="center"/>
            <w:hideMark/>
          </w:tcPr>
          <w:p w14:paraId="09EE414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144AF76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063" w:type="pct"/>
            <w:shd w:val="clear" w:color="auto" w:fill="B4C6E7" w:themeFill="accent1" w:themeFillTint="66"/>
            <w:vAlign w:val="center"/>
            <w:hideMark/>
          </w:tcPr>
          <w:p w14:paraId="1B02874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658" w:type="pct"/>
            <w:shd w:val="clear" w:color="auto" w:fill="B4C6E7" w:themeFill="accent1" w:themeFillTint="66"/>
            <w:vAlign w:val="center"/>
            <w:hideMark/>
          </w:tcPr>
          <w:p w14:paraId="4B0DA77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708" w:type="pct"/>
            <w:shd w:val="clear" w:color="auto" w:fill="B4C6E7" w:themeFill="accent1" w:themeFillTint="66"/>
            <w:vAlign w:val="center"/>
            <w:hideMark/>
          </w:tcPr>
          <w:p w14:paraId="65DE117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1203" w:type="pct"/>
            <w:shd w:val="clear" w:color="auto" w:fill="B4C6E7" w:themeFill="accent1" w:themeFillTint="66"/>
            <w:vAlign w:val="center"/>
          </w:tcPr>
          <w:p w14:paraId="1350D38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p w14:paraId="1ECFBEF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p>
        </w:tc>
      </w:tr>
      <w:tr w:rsidR="005A0CC1" w:rsidRPr="005A0CC1" w14:paraId="1D850186" w14:textId="77777777" w:rsidTr="001C7DE3">
        <w:trPr>
          <w:trHeight w:val="1085"/>
        </w:trPr>
        <w:tc>
          <w:tcPr>
            <w:tcW w:w="1367" w:type="pct"/>
          </w:tcPr>
          <w:p w14:paraId="2589E0D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3.2.1. Utvrđivanje potreba za adaptacijom i održavanjem objekata u kojima djelatnost obavljaju i korisnici državnog proračuna i upravna tijela JLP(R)S</w:t>
            </w:r>
          </w:p>
        </w:tc>
        <w:tc>
          <w:tcPr>
            <w:tcW w:w="1063" w:type="pct"/>
          </w:tcPr>
          <w:p w14:paraId="35834F5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 popis nekretnina za adaptaciju u cilju ostvarenja  administrativnih potreba TDU i upravnih tijela JLP(R)S</w:t>
            </w:r>
          </w:p>
        </w:tc>
        <w:tc>
          <w:tcPr>
            <w:tcW w:w="658" w:type="pct"/>
            <w:vAlign w:val="center"/>
          </w:tcPr>
          <w:p w14:paraId="09871E5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708" w:type="pct"/>
            <w:vAlign w:val="center"/>
          </w:tcPr>
          <w:p w14:paraId="1FA3946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1203" w:type="pct"/>
          </w:tcPr>
          <w:p w14:paraId="6180C7A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247806C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2BA96B4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56E93A9D" w14:textId="77777777" w:rsidTr="001C7DE3">
        <w:trPr>
          <w:trHeight w:val="1482"/>
        </w:trPr>
        <w:tc>
          <w:tcPr>
            <w:tcW w:w="1367" w:type="pct"/>
          </w:tcPr>
          <w:p w14:paraId="129821C9" w14:textId="77777777" w:rsidR="005A0CC1" w:rsidRPr="005A0CC1" w:rsidRDefault="005A0CC1" w:rsidP="005A0CC1">
            <w:pPr>
              <w:rPr>
                <w:rFonts w:ascii="Times New Roman" w:eastAsia="Aptos" w:hAnsi="Times New Roman" w:cs="Times New Roman"/>
                <w:color w:val="auto"/>
                <w:kern w:val="2"/>
                <w:sz w:val="20"/>
                <w:szCs w:val="20"/>
                <w:lang w:eastAsia="en-US" w:bidi="ar-SA"/>
                <w14:ligatures w14:val="standardContextual"/>
              </w:rPr>
            </w:pPr>
          </w:p>
          <w:p w14:paraId="7154E705" w14:textId="77777777" w:rsidR="005A0CC1" w:rsidRPr="005A0CC1" w:rsidRDefault="005A0CC1" w:rsidP="005A0CC1">
            <w:pP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3.2.2. Adaptacija nekretnina i dodjela na uporabu obnovljenih nekretnina za potrebe TDU, drugih korisnika državnog proračuna i upravnih tijela JLP(R)S</w:t>
            </w:r>
          </w:p>
          <w:p w14:paraId="612FA433" w14:textId="77777777" w:rsidR="005A0CC1" w:rsidRPr="005A0CC1" w:rsidRDefault="005A0CC1" w:rsidP="005A0CC1">
            <w:pPr>
              <w:rPr>
                <w:rFonts w:ascii="Times New Roman" w:eastAsia="Aptos" w:hAnsi="Times New Roman" w:cs="Times New Roman"/>
                <w:color w:val="auto"/>
                <w:kern w:val="2"/>
                <w:sz w:val="20"/>
                <w:szCs w:val="20"/>
                <w:lang w:eastAsia="en-US" w:bidi="ar-SA"/>
                <w14:ligatures w14:val="standardContextual"/>
              </w:rPr>
            </w:pPr>
          </w:p>
        </w:tc>
        <w:tc>
          <w:tcPr>
            <w:tcW w:w="1063" w:type="pct"/>
          </w:tcPr>
          <w:p w14:paraId="7BBB1C4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437E0C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7EB5F86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nekretnina koje su predmet ulaganja (investicijsko i tekuće ulaganje)</w:t>
            </w:r>
          </w:p>
        </w:tc>
        <w:tc>
          <w:tcPr>
            <w:tcW w:w="658" w:type="pct"/>
            <w:vAlign w:val="center"/>
          </w:tcPr>
          <w:p w14:paraId="260721F2"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w:t>
            </w:r>
          </w:p>
        </w:tc>
        <w:tc>
          <w:tcPr>
            <w:tcW w:w="708" w:type="pct"/>
            <w:vAlign w:val="center"/>
          </w:tcPr>
          <w:p w14:paraId="7AAE001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10</w:t>
            </w:r>
          </w:p>
        </w:tc>
        <w:tc>
          <w:tcPr>
            <w:tcW w:w="1203" w:type="pct"/>
          </w:tcPr>
          <w:p w14:paraId="0045DDD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135BCA7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373C0E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4ABD300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2D2B054B" w14:textId="77777777" w:rsidTr="001C7DE3">
        <w:trPr>
          <w:trHeight w:val="564"/>
        </w:trPr>
        <w:tc>
          <w:tcPr>
            <w:tcW w:w="1367" w:type="pct"/>
          </w:tcPr>
          <w:p w14:paraId="4C7A755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3.2.3. Smještaj TDU</w:t>
            </w:r>
          </w:p>
        </w:tc>
        <w:tc>
          <w:tcPr>
            <w:tcW w:w="1063" w:type="pct"/>
          </w:tcPr>
          <w:p w14:paraId="10F4A8C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sklopljenih ugovora o dodjeli na uporabu</w:t>
            </w:r>
          </w:p>
        </w:tc>
        <w:tc>
          <w:tcPr>
            <w:tcW w:w="658" w:type="pct"/>
            <w:vAlign w:val="center"/>
          </w:tcPr>
          <w:p w14:paraId="14FBC52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17</w:t>
            </w:r>
          </w:p>
        </w:tc>
        <w:tc>
          <w:tcPr>
            <w:tcW w:w="708" w:type="pct"/>
            <w:vAlign w:val="center"/>
          </w:tcPr>
          <w:p w14:paraId="19C6D0A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31</w:t>
            </w:r>
          </w:p>
        </w:tc>
        <w:tc>
          <w:tcPr>
            <w:tcW w:w="1203" w:type="pct"/>
          </w:tcPr>
          <w:p w14:paraId="7B3FFAB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60836E4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6676E41D"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7A1A0C8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45F17F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F26594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bl>
      <w:tblPr>
        <w:tblStyle w:val="Reetkatablice2"/>
        <w:tblW w:w="5000" w:type="pct"/>
        <w:tblLook w:val="04A0" w:firstRow="1" w:lastRow="0" w:firstColumn="1" w:lastColumn="0" w:noHBand="0" w:noVBand="1"/>
      </w:tblPr>
      <w:tblGrid>
        <w:gridCol w:w="4148"/>
        <w:gridCol w:w="2457"/>
        <w:gridCol w:w="1503"/>
        <w:gridCol w:w="1836"/>
        <w:gridCol w:w="1461"/>
        <w:gridCol w:w="2589"/>
      </w:tblGrid>
      <w:tr w:rsidR="005A0CC1" w:rsidRPr="005A0CC1" w14:paraId="6A23CA35" w14:textId="77777777" w:rsidTr="001C7DE3">
        <w:trPr>
          <w:trHeight w:val="673"/>
        </w:trPr>
        <w:tc>
          <w:tcPr>
            <w:tcW w:w="5000" w:type="pct"/>
            <w:gridSpan w:val="6"/>
            <w:shd w:val="clear" w:color="auto" w:fill="B4C6E7" w:themeFill="accent1" w:themeFillTint="66"/>
          </w:tcPr>
          <w:p w14:paraId="5D3C0C1A"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3: Učinkovito upravljanje nekretninama u vlasništvu Republike Hrvatske za ispunjenje administrativnih potreba korisnika državnog proračuna</w:t>
            </w:r>
          </w:p>
          <w:p w14:paraId="63A91F54"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3.3. Stjecanje nekretnina za potrebe smještaja tijela državne uprave i drugih korisnika državnog proračuna</w:t>
            </w:r>
          </w:p>
        </w:tc>
      </w:tr>
      <w:tr w:rsidR="005A0CC1" w:rsidRPr="005A0CC1" w14:paraId="3D8F75B3" w14:textId="77777777" w:rsidTr="001C7DE3">
        <w:trPr>
          <w:trHeight w:val="764"/>
        </w:trPr>
        <w:tc>
          <w:tcPr>
            <w:tcW w:w="1482" w:type="pct"/>
            <w:shd w:val="clear" w:color="auto" w:fill="B4C6E7" w:themeFill="accent1" w:themeFillTint="66"/>
            <w:vAlign w:val="center"/>
            <w:hideMark/>
          </w:tcPr>
          <w:p w14:paraId="7A11344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010FB6F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878" w:type="pct"/>
            <w:shd w:val="clear" w:color="auto" w:fill="B4C6E7" w:themeFill="accent1" w:themeFillTint="66"/>
            <w:vAlign w:val="center"/>
            <w:hideMark/>
          </w:tcPr>
          <w:p w14:paraId="52EB625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537" w:type="pct"/>
            <w:shd w:val="clear" w:color="auto" w:fill="B4C6E7" w:themeFill="accent1" w:themeFillTint="66"/>
            <w:vAlign w:val="center"/>
            <w:hideMark/>
          </w:tcPr>
          <w:p w14:paraId="2B29B04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656" w:type="pct"/>
            <w:shd w:val="clear" w:color="auto" w:fill="B4C6E7" w:themeFill="accent1" w:themeFillTint="66"/>
            <w:vAlign w:val="center"/>
            <w:hideMark/>
          </w:tcPr>
          <w:p w14:paraId="795C69F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522" w:type="pct"/>
            <w:shd w:val="clear" w:color="auto" w:fill="B4C6E7" w:themeFill="accent1" w:themeFillTint="66"/>
            <w:vAlign w:val="center"/>
          </w:tcPr>
          <w:p w14:paraId="6959D7DC"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c>
          <w:tcPr>
            <w:tcW w:w="925" w:type="pct"/>
            <w:shd w:val="clear" w:color="auto" w:fill="B4C6E7" w:themeFill="accent1" w:themeFillTint="66"/>
            <w:vAlign w:val="center"/>
            <w:hideMark/>
          </w:tcPr>
          <w:p w14:paraId="36BAF681"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PROJEKTI</w:t>
            </w:r>
          </w:p>
        </w:tc>
      </w:tr>
      <w:tr w:rsidR="005A0CC1" w:rsidRPr="005A0CC1" w14:paraId="07E34E08" w14:textId="77777777" w:rsidTr="001C7DE3">
        <w:trPr>
          <w:trHeight w:val="703"/>
        </w:trPr>
        <w:tc>
          <w:tcPr>
            <w:tcW w:w="1482" w:type="pct"/>
          </w:tcPr>
          <w:p w14:paraId="43A32EC4" w14:textId="77777777" w:rsidR="005A0CC1" w:rsidRPr="005A0CC1" w:rsidRDefault="005A0CC1" w:rsidP="005A0CC1">
            <w:pPr>
              <w:widowControl/>
              <w:ind w:left="601"/>
              <w:contextualSpacing/>
              <w:rPr>
                <w:rFonts w:ascii="Times New Roman" w:eastAsia="Aptos" w:hAnsi="Times New Roman" w:cs="Times New Roman"/>
                <w:color w:val="auto"/>
                <w:kern w:val="2"/>
                <w:sz w:val="20"/>
                <w:szCs w:val="20"/>
                <w:lang w:eastAsia="en-US" w:bidi="ar-SA"/>
                <w14:ligatures w14:val="standardContextual"/>
              </w:rPr>
            </w:pPr>
          </w:p>
          <w:p w14:paraId="6645EDC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3.3.1. Kupnja nekretnina </w:t>
            </w:r>
          </w:p>
        </w:tc>
        <w:tc>
          <w:tcPr>
            <w:tcW w:w="878" w:type="pct"/>
            <w:vAlign w:val="center"/>
          </w:tcPr>
          <w:p w14:paraId="23BF6CD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Kupljena nekretnina</w:t>
            </w:r>
          </w:p>
        </w:tc>
        <w:tc>
          <w:tcPr>
            <w:tcW w:w="537" w:type="pct"/>
            <w:vAlign w:val="center"/>
          </w:tcPr>
          <w:p w14:paraId="01C0536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656" w:type="pct"/>
            <w:vAlign w:val="center"/>
          </w:tcPr>
          <w:p w14:paraId="4A4B2B5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522" w:type="pct"/>
            <w:vAlign w:val="center"/>
          </w:tcPr>
          <w:p w14:paraId="40CB966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925" w:type="pct"/>
            <w:vAlign w:val="center"/>
          </w:tcPr>
          <w:p w14:paraId="5D55FBC8" w14:textId="77777777" w:rsidR="005A0CC1" w:rsidRPr="005A0CC1" w:rsidRDefault="005A0CC1" w:rsidP="005A0CC1">
            <w:pPr>
              <w:widowControl/>
              <w:contextualSpacing/>
              <w:jc w:val="center"/>
              <w:rPr>
                <w:rFonts w:ascii="Times New Roman" w:eastAsia="Aptos" w:hAnsi="Times New Roman" w:cs="Times New Roman"/>
                <w:color w:val="auto"/>
                <w:kern w:val="2"/>
                <w:sz w:val="20"/>
                <w:szCs w:val="20"/>
                <w:lang w:eastAsia="en-US" w:bidi="ar-SA"/>
                <w14:ligatures w14:val="standardContextual"/>
              </w:rPr>
            </w:pPr>
          </w:p>
          <w:p w14:paraId="46A905FE" w14:textId="77777777" w:rsidR="005A0CC1" w:rsidRPr="005A0CC1" w:rsidRDefault="005A0CC1" w:rsidP="005A0CC1">
            <w:pPr>
              <w:widowControl/>
              <w:contextualSpacing/>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Vjesnik</w:t>
            </w:r>
          </w:p>
          <w:p w14:paraId="5D57AF0C" w14:textId="77777777" w:rsidR="005A0CC1" w:rsidRPr="005A0CC1" w:rsidRDefault="005A0CC1" w:rsidP="005A0CC1">
            <w:pPr>
              <w:widowControl/>
              <w:contextualSpacing/>
              <w:jc w:val="center"/>
              <w:rPr>
                <w:rFonts w:ascii="Times New Roman" w:eastAsia="Aptos" w:hAnsi="Times New Roman" w:cs="Times New Roman"/>
                <w:color w:val="auto"/>
                <w:kern w:val="2"/>
                <w:sz w:val="20"/>
                <w:szCs w:val="20"/>
                <w:highlight w:val="yellow"/>
                <w:lang w:eastAsia="en-US" w:bidi="ar-SA"/>
                <w14:ligatures w14:val="standardContextual"/>
              </w:rPr>
            </w:pPr>
          </w:p>
        </w:tc>
      </w:tr>
    </w:tbl>
    <w:p w14:paraId="3635473F"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34FB1A8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03549F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376366E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bl>
      <w:tblPr>
        <w:tblStyle w:val="Reetkatablice2"/>
        <w:tblW w:w="5000" w:type="pct"/>
        <w:tblInd w:w="-5" w:type="dxa"/>
        <w:tblLook w:val="04A0" w:firstRow="1" w:lastRow="0" w:firstColumn="1" w:lastColumn="0" w:noHBand="0" w:noVBand="1"/>
      </w:tblPr>
      <w:tblGrid>
        <w:gridCol w:w="3991"/>
        <w:gridCol w:w="3065"/>
        <w:gridCol w:w="1539"/>
        <w:gridCol w:w="1503"/>
        <w:gridCol w:w="1643"/>
        <w:gridCol w:w="2253"/>
      </w:tblGrid>
      <w:tr w:rsidR="005A0CC1" w:rsidRPr="005A0CC1" w14:paraId="65C06449" w14:textId="77777777" w:rsidTr="001C7DE3">
        <w:trPr>
          <w:trHeight w:val="673"/>
        </w:trPr>
        <w:tc>
          <w:tcPr>
            <w:tcW w:w="5000" w:type="pct"/>
            <w:gridSpan w:val="6"/>
            <w:shd w:val="clear" w:color="auto" w:fill="B4C6E7" w:themeFill="accent1" w:themeFillTint="66"/>
          </w:tcPr>
          <w:p w14:paraId="7B700535"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3: Učinkovito upravljanje nekretninama u vlasništvu Republike Hrvatske za ispunjenje administrativnih potreba korisnika državnog proračuna</w:t>
            </w:r>
          </w:p>
          <w:p w14:paraId="1384B92B"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3.4. Obnova, rekonstrukcija i izgradnja nekretnina za smještaj tijela državne uprave i drugih korisnika državnog proračuna</w:t>
            </w:r>
          </w:p>
        </w:tc>
      </w:tr>
      <w:tr w:rsidR="005A0CC1" w:rsidRPr="005A0CC1" w14:paraId="2220E28B" w14:textId="77777777" w:rsidTr="001C7DE3">
        <w:trPr>
          <w:trHeight w:val="836"/>
        </w:trPr>
        <w:tc>
          <w:tcPr>
            <w:tcW w:w="1426" w:type="pct"/>
            <w:shd w:val="clear" w:color="auto" w:fill="B4C6E7" w:themeFill="accent1" w:themeFillTint="66"/>
            <w:vAlign w:val="center"/>
            <w:hideMark/>
          </w:tcPr>
          <w:p w14:paraId="20D4312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076F00A3"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095" w:type="pct"/>
            <w:shd w:val="clear" w:color="auto" w:fill="B4C6E7" w:themeFill="accent1" w:themeFillTint="66"/>
            <w:vAlign w:val="center"/>
            <w:hideMark/>
          </w:tcPr>
          <w:p w14:paraId="487821A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550" w:type="pct"/>
            <w:shd w:val="clear" w:color="auto" w:fill="B4C6E7" w:themeFill="accent1" w:themeFillTint="66"/>
            <w:vAlign w:val="center"/>
            <w:hideMark/>
          </w:tcPr>
          <w:p w14:paraId="43B0564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537" w:type="pct"/>
            <w:shd w:val="clear" w:color="auto" w:fill="B4C6E7" w:themeFill="accent1" w:themeFillTint="66"/>
            <w:vAlign w:val="center"/>
            <w:hideMark/>
          </w:tcPr>
          <w:p w14:paraId="5EEB456C"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587" w:type="pct"/>
            <w:shd w:val="clear" w:color="auto" w:fill="B4C6E7" w:themeFill="accent1" w:themeFillTint="66"/>
            <w:vAlign w:val="center"/>
          </w:tcPr>
          <w:p w14:paraId="02D339B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c>
          <w:tcPr>
            <w:tcW w:w="805" w:type="pct"/>
            <w:shd w:val="clear" w:color="auto" w:fill="B4C6E7" w:themeFill="accent1" w:themeFillTint="66"/>
          </w:tcPr>
          <w:p w14:paraId="7C5925FF"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p>
          <w:p w14:paraId="03139AA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PROJEKTI</w:t>
            </w:r>
          </w:p>
        </w:tc>
      </w:tr>
      <w:tr w:rsidR="005A0CC1" w:rsidRPr="005A0CC1" w14:paraId="7B096068" w14:textId="77777777" w:rsidTr="001C7DE3">
        <w:trPr>
          <w:trHeight w:val="763"/>
        </w:trPr>
        <w:tc>
          <w:tcPr>
            <w:tcW w:w="1426" w:type="pct"/>
          </w:tcPr>
          <w:p w14:paraId="629FBB3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3.4.1. Dovršetak cjelovite obnove nekretnina oštećenih u potresu</w:t>
            </w:r>
          </w:p>
        </w:tc>
        <w:tc>
          <w:tcPr>
            <w:tcW w:w="1095" w:type="pct"/>
          </w:tcPr>
          <w:p w14:paraId="24DE6A8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zgrada javne namjene za koje je dovršena obnova</w:t>
            </w:r>
          </w:p>
        </w:tc>
        <w:tc>
          <w:tcPr>
            <w:tcW w:w="550" w:type="pct"/>
            <w:vAlign w:val="center"/>
          </w:tcPr>
          <w:p w14:paraId="03AA6BD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537" w:type="pct"/>
            <w:vAlign w:val="center"/>
          </w:tcPr>
          <w:p w14:paraId="3BF77E3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587" w:type="pct"/>
            <w:vAlign w:val="center"/>
          </w:tcPr>
          <w:p w14:paraId="20B26B9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805" w:type="pct"/>
          </w:tcPr>
          <w:p w14:paraId="77D61E4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Zgrada Ilica 25 -27</w:t>
            </w:r>
          </w:p>
          <w:p w14:paraId="6C5459E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Zgrada Republike Austrije 20</w:t>
            </w:r>
          </w:p>
        </w:tc>
      </w:tr>
      <w:tr w:rsidR="005A0CC1" w:rsidRPr="005A0CC1" w14:paraId="6AD787B8" w14:textId="77777777" w:rsidTr="001C7DE3">
        <w:trPr>
          <w:trHeight w:val="632"/>
        </w:trPr>
        <w:tc>
          <w:tcPr>
            <w:tcW w:w="1426" w:type="pct"/>
            <w:vMerge w:val="restart"/>
          </w:tcPr>
          <w:p w14:paraId="31C47B3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3.4.2. Kapitalna ulaganja u nekretnine u svrhu dodjele na uporabu nekretnina za potrebe TDU i drugih korisnika državnog proračuna</w:t>
            </w:r>
          </w:p>
        </w:tc>
        <w:tc>
          <w:tcPr>
            <w:tcW w:w="1095" w:type="pct"/>
          </w:tcPr>
          <w:p w14:paraId="59B84D3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Broj odluka o obnovi nekretnina </w:t>
            </w:r>
          </w:p>
        </w:tc>
        <w:tc>
          <w:tcPr>
            <w:tcW w:w="550" w:type="pct"/>
            <w:vAlign w:val="center"/>
          </w:tcPr>
          <w:p w14:paraId="0E780FF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537" w:type="pct"/>
            <w:vAlign w:val="center"/>
          </w:tcPr>
          <w:p w14:paraId="2F08C19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587" w:type="pct"/>
            <w:vAlign w:val="center"/>
          </w:tcPr>
          <w:p w14:paraId="7DF8397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805" w:type="pct"/>
          </w:tcPr>
          <w:p w14:paraId="36C1621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Karlovac</w:t>
            </w:r>
          </w:p>
          <w:p w14:paraId="33DE1BA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Petrinja</w:t>
            </w:r>
          </w:p>
        </w:tc>
      </w:tr>
      <w:tr w:rsidR="005A0CC1" w:rsidRPr="005A0CC1" w14:paraId="505BEEB0" w14:textId="77777777" w:rsidTr="001C7DE3">
        <w:trPr>
          <w:trHeight w:val="596"/>
        </w:trPr>
        <w:tc>
          <w:tcPr>
            <w:tcW w:w="1426" w:type="pct"/>
            <w:vMerge/>
          </w:tcPr>
          <w:p w14:paraId="697E849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1095" w:type="pct"/>
          </w:tcPr>
          <w:p w14:paraId="35B0B01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Izrađena projektna dokumentacija</w:t>
            </w:r>
          </w:p>
        </w:tc>
        <w:tc>
          <w:tcPr>
            <w:tcW w:w="550" w:type="pct"/>
            <w:vAlign w:val="center"/>
          </w:tcPr>
          <w:p w14:paraId="565FBD5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537" w:type="pct"/>
            <w:vAlign w:val="center"/>
          </w:tcPr>
          <w:p w14:paraId="31EF96C9"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587" w:type="pct"/>
            <w:vAlign w:val="center"/>
          </w:tcPr>
          <w:p w14:paraId="4F78713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c>
          <w:tcPr>
            <w:tcW w:w="805" w:type="pct"/>
          </w:tcPr>
          <w:p w14:paraId="5A9D114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Karlovac</w:t>
            </w:r>
          </w:p>
          <w:p w14:paraId="56AD45C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Petrinja</w:t>
            </w:r>
          </w:p>
        </w:tc>
      </w:tr>
    </w:tbl>
    <w:p w14:paraId="71E0C3A1"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56BDF4B1"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50611838"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p w14:paraId="37EB0817" w14:textId="77777777" w:rsidR="005A0CC1" w:rsidRPr="005A0CC1" w:rsidRDefault="005A0CC1" w:rsidP="005A0CC1">
      <w:pPr>
        <w:widowControl/>
        <w:spacing w:line="259" w:lineRule="auto"/>
        <w:rPr>
          <w:rFonts w:ascii="Times New Roman" w:eastAsia="Aptos" w:hAnsi="Times New Roman" w:cs="Times New Roman"/>
          <w:color w:val="auto"/>
          <w:kern w:val="2"/>
          <w:sz w:val="18"/>
          <w:szCs w:val="18"/>
          <w:lang w:eastAsia="en-US" w:bidi="ar-SA"/>
          <w14:ligatures w14:val="standardContextual"/>
        </w:rPr>
      </w:pPr>
    </w:p>
    <w:tbl>
      <w:tblPr>
        <w:tblStyle w:val="Reetkatablice2"/>
        <w:tblW w:w="5000" w:type="pct"/>
        <w:tblLook w:val="04A0" w:firstRow="1" w:lastRow="0" w:firstColumn="1" w:lastColumn="0" w:noHBand="0" w:noVBand="1"/>
      </w:tblPr>
      <w:tblGrid>
        <w:gridCol w:w="4478"/>
        <w:gridCol w:w="5046"/>
        <w:gridCol w:w="1503"/>
        <w:gridCol w:w="1503"/>
        <w:gridCol w:w="1464"/>
      </w:tblGrid>
      <w:tr w:rsidR="005A0CC1" w:rsidRPr="005A0CC1" w14:paraId="2F14A2FB" w14:textId="77777777" w:rsidTr="001C7DE3">
        <w:trPr>
          <w:trHeight w:val="673"/>
        </w:trPr>
        <w:tc>
          <w:tcPr>
            <w:tcW w:w="5000" w:type="pct"/>
            <w:gridSpan w:val="5"/>
            <w:shd w:val="clear" w:color="auto" w:fill="B4C6E7" w:themeFill="accent1" w:themeFillTint="66"/>
          </w:tcPr>
          <w:p w14:paraId="4EA23BD6"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4: Učinkovito upravljanje pokretninama u vlasništvu Republike Hrvatske i privremeno oduzetom imovinom</w:t>
            </w:r>
          </w:p>
          <w:p w14:paraId="40DE66A5"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4.1. Aktivacija pokretnina u vlasništvu Republike Hrvatske</w:t>
            </w:r>
          </w:p>
        </w:tc>
      </w:tr>
      <w:tr w:rsidR="005A0CC1" w:rsidRPr="005A0CC1" w14:paraId="3188F995" w14:textId="77777777" w:rsidTr="001C7DE3">
        <w:trPr>
          <w:trHeight w:val="910"/>
        </w:trPr>
        <w:tc>
          <w:tcPr>
            <w:tcW w:w="1600" w:type="pct"/>
            <w:shd w:val="clear" w:color="auto" w:fill="B4C6E7" w:themeFill="accent1" w:themeFillTint="66"/>
            <w:vAlign w:val="center"/>
            <w:hideMark/>
          </w:tcPr>
          <w:p w14:paraId="45BD454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0916D929"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shd w:val="clear" w:color="auto" w:fill="B4C6E7" w:themeFill="accent1" w:themeFillTint="66"/>
                <w:lang w:eastAsia="en-US" w:bidi="ar-SA"/>
                <w14:ligatures w14:val="standardContextual"/>
              </w:rPr>
              <w:t>NAČIN OSTVARENJA</w:t>
            </w:r>
          </w:p>
        </w:tc>
        <w:tc>
          <w:tcPr>
            <w:tcW w:w="1803" w:type="pct"/>
            <w:shd w:val="clear" w:color="auto" w:fill="B4C6E7" w:themeFill="accent1" w:themeFillTint="66"/>
            <w:vAlign w:val="center"/>
            <w:hideMark/>
          </w:tcPr>
          <w:p w14:paraId="4C95A7C0"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537" w:type="pct"/>
            <w:shd w:val="clear" w:color="auto" w:fill="B4C6E7" w:themeFill="accent1" w:themeFillTint="66"/>
            <w:vAlign w:val="center"/>
            <w:hideMark/>
          </w:tcPr>
          <w:p w14:paraId="245150E3"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537" w:type="pct"/>
            <w:shd w:val="clear" w:color="auto" w:fill="B4C6E7" w:themeFill="accent1" w:themeFillTint="66"/>
            <w:vAlign w:val="center"/>
            <w:hideMark/>
          </w:tcPr>
          <w:p w14:paraId="5E98C9A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523" w:type="pct"/>
            <w:shd w:val="clear" w:color="auto" w:fill="B4C6E7" w:themeFill="accent1" w:themeFillTint="66"/>
            <w:vAlign w:val="center"/>
          </w:tcPr>
          <w:p w14:paraId="267D5740"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0637C797" w14:textId="77777777" w:rsidTr="001C7DE3">
        <w:trPr>
          <w:trHeight w:val="1085"/>
        </w:trPr>
        <w:tc>
          <w:tcPr>
            <w:tcW w:w="1600" w:type="pct"/>
            <w:vMerge w:val="restart"/>
          </w:tcPr>
          <w:p w14:paraId="6EDB9FF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4.1.1. Aktivacija pokretnina kroz prodaju / zakup / najam pokretnina</w:t>
            </w:r>
          </w:p>
        </w:tc>
        <w:tc>
          <w:tcPr>
            <w:tcW w:w="1803" w:type="pct"/>
          </w:tcPr>
          <w:p w14:paraId="7A94DAE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3BA00E1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pokretnina za koje je donesena odluka o prodaji/najmu/zakupu u odnosu na broj pokretnina za koje je donesena odluka o pokretanju postupka prodaje/najma/zakupa</w:t>
            </w:r>
          </w:p>
        </w:tc>
        <w:tc>
          <w:tcPr>
            <w:tcW w:w="537" w:type="pct"/>
            <w:vAlign w:val="center"/>
          </w:tcPr>
          <w:p w14:paraId="064A622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95 %</w:t>
            </w:r>
          </w:p>
          <w:p w14:paraId="6EA4300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Odluka o pokretanju postupka: 80</w:t>
            </w:r>
          </w:p>
          <w:p w14:paraId="2BD48AA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Odluka o raspolaganju: 76)</w:t>
            </w:r>
          </w:p>
        </w:tc>
        <w:tc>
          <w:tcPr>
            <w:tcW w:w="537" w:type="pct"/>
            <w:vAlign w:val="center"/>
          </w:tcPr>
          <w:p w14:paraId="13D76B4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95 %</w:t>
            </w:r>
          </w:p>
        </w:tc>
        <w:tc>
          <w:tcPr>
            <w:tcW w:w="523" w:type="pct"/>
            <w:vAlign w:val="center"/>
          </w:tcPr>
          <w:p w14:paraId="4A3C4BE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3BE8942A" w14:textId="77777777" w:rsidTr="001C7DE3">
        <w:trPr>
          <w:trHeight w:val="606"/>
        </w:trPr>
        <w:tc>
          <w:tcPr>
            <w:tcW w:w="1600" w:type="pct"/>
            <w:vMerge/>
          </w:tcPr>
          <w:p w14:paraId="24F09EF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1803" w:type="pct"/>
          </w:tcPr>
          <w:p w14:paraId="3E0EF23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Prihod po osnovi upravljanja pokretninama od prodaje/najma/zakupa pokretnina</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tcPr>
          <w:p w14:paraId="5E6E562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146.693,30</w:t>
            </w:r>
          </w:p>
        </w:tc>
        <w:tc>
          <w:tcPr>
            <w:tcW w:w="537" w:type="pct"/>
            <w:tcBorders>
              <w:top w:val="single" w:sz="4" w:space="0" w:color="auto"/>
              <w:left w:val="nil"/>
              <w:bottom w:val="single" w:sz="4" w:space="0" w:color="auto"/>
              <w:right w:val="single" w:sz="4" w:space="0" w:color="auto"/>
            </w:tcBorders>
            <w:shd w:val="clear" w:color="000000" w:fill="FFFFFF"/>
            <w:vAlign w:val="center"/>
          </w:tcPr>
          <w:p w14:paraId="49EC2F3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175.000,00</w:t>
            </w:r>
          </w:p>
        </w:tc>
        <w:tc>
          <w:tcPr>
            <w:tcW w:w="523" w:type="pct"/>
            <w:vAlign w:val="center"/>
          </w:tcPr>
          <w:p w14:paraId="04DD614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5B72D6D4" w14:textId="77777777" w:rsidTr="001C7DE3">
        <w:trPr>
          <w:trHeight w:val="606"/>
        </w:trPr>
        <w:tc>
          <w:tcPr>
            <w:tcW w:w="1600" w:type="pct"/>
          </w:tcPr>
          <w:p w14:paraId="6488E6C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4.1.2. Aktivacija pokretnina davanjem na uporabu, prijenosom prava upravljanja ili darovanjem</w:t>
            </w:r>
          </w:p>
        </w:tc>
        <w:tc>
          <w:tcPr>
            <w:tcW w:w="1803" w:type="pct"/>
          </w:tcPr>
          <w:p w14:paraId="730A19C3"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Vrijednost pokretnina za koje je donesena odluka o davanju na uporabu, prijenosu prava upravljanja ili darovanju</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tcPr>
          <w:p w14:paraId="658B33E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251.454,99</w:t>
            </w:r>
          </w:p>
        </w:tc>
        <w:tc>
          <w:tcPr>
            <w:tcW w:w="537" w:type="pct"/>
            <w:tcBorders>
              <w:top w:val="single" w:sz="4" w:space="0" w:color="auto"/>
              <w:left w:val="nil"/>
              <w:bottom w:val="single" w:sz="4" w:space="0" w:color="auto"/>
              <w:right w:val="single" w:sz="4" w:space="0" w:color="auto"/>
            </w:tcBorders>
            <w:shd w:val="clear" w:color="000000" w:fill="FFFFFF"/>
            <w:vAlign w:val="center"/>
          </w:tcPr>
          <w:p w14:paraId="28529AF4"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220.000,00</w:t>
            </w:r>
          </w:p>
        </w:tc>
        <w:tc>
          <w:tcPr>
            <w:tcW w:w="523" w:type="pct"/>
            <w:vAlign w:val="center"/>
          </w:tcPr>
          <w:p w14:paraId="040F566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0A81D0CB" w14:textId="77777777" w:rsidTr="001C7DE3">
        <w:trPr>
          <w:trHeight w:val="1403"/>
        </w:trPr>
        <w:tc>
          <w:tcPr>
            <w:tcW w:w="1600" w:type="pct"/>
            <w:vMerge w:val="restart"/>
          </w:tcPr>
          <w:p w14:paraId="5FA8774D"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4.1.3. Zbrinjavanje pokretnina kod ovlaštenih tijela</w:t>
            </w:r>
          </w:p>
        </w:tc>
        <w:tc>
          <w:tcPr>
            <w:tcW w:w="1803" w:type="pct"/>
          </w:tcPr>
          <w:p w14:paraId="5CF5C194"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B10273A"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pokretnina koje su zbrinute kod ovlaštenih tijela u odnosu na broj pokretnina za koje je donesena odluka o zbrinjavanju</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tcPr>
          <w:p w14:paraId="15BDBB7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 xml:space="preserve">100 % </w:t>
            </w:r>
          </w:p>
          <w:p w14:paraId="2ACD33B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donesenih Odluka: 37</w:t>
            </w:r>
          </w:p>
          <w:p w14:paraId="1D4701B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zbrinutih pokretnina: 37)</w:t>
            </w:r>
          </w:p>
        </w:tc>
        <w:tc>
          <w:tcPr>
            <w:tcW w:w="537" w:type="pct"/>
            <w:tcBorders>
              <w:top w:val="single" w:sz="4" w:space="0" w:color="auto"/>
              <w:left w:val="nil"/>
              <w:bottom w:val="single" w:sz="4" w:space="0" w:color="auto"/>
              <w:right w:val="single" w:sz="4" w:space="0" w:color="auto"/>
            </w:tcBorders>
            <w:shd w:val="clear" w:color="000000" w:fill="FFFFFF"/>
            <w:vAlign w:val="center"/>
          </w:tcPr>
          <w:p w14:paraId="481A002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95 %</w:t>
            </w:r>
          </w:p>
        </w:tc>
        <w:tc>
          <w:tcPr>
            <w:tcW w:w="523" w:type="pct"/>
            <w:vAlign w:val="center"/>
          </w:tcPr>
          <w:p w14:paraId="2884D23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6C6F449E" w14:textId="77777777" w:rsidTr="001C7DE3">
        <w:trPr>
          <w:trHeight w:val="841"/>
        </w:trPr>
        <w:tc>
          <w:tcPr>
            <w:tcW w:w="1600" w:type="pct"/>
            <w:vMerge/>
          </w:tcPr>
          <w:p w14:paraId="3133A76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1803" w:type="pct"/>
          </w:tcPr>
          <w:p w14:paraId="25AAFCD5"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2BB23100"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Prihod po osnovi naknade za pokretnine zbrinute kod ovlaštenih tijela</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tcPr>
          <w:p w14:paraId="6E0E9AA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2.567,36</w:t>
            </w:r>
          </w:p>
        </w:tc>
        <w:tc>
          <w:tcPr>
            <w:tcW w:w="537" w:type="pct"/>
            <w:tcBorders>
              <w:top w:val="single" w:sz="4" w:space="0" w:color="auto"/>
              <w:left w:val="nil"/>
              <w:bottom w:val="single" w:sz="4" w:space="0" w:color="auto"/>
              <w:right w:val="single" w:sz="4" w:space="0" w:color="auto"/>
            </w:tcBorders>
            <w:shd w:val="clear" w:color="000000" w:fill="FFFFFF"/>
            <w:vAlign w:val="center"/>
          </w:tcPr>
          <w:p w14:paraId="414ECCD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2.000,00</w:t>
            </w:r>
          </w:p>
        </w:tc>
        <w:tc>
          <w:tcPr>
            <w:tcW w:w="523" w:type="pct"/>
            <w:vAlign w:val="center"/>
          </w:tcPr>
          <w:p w14:paraId="0715DA9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03A84DF9"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6AC40493"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p w14:paraId="7CF0614D"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p w14:paraId="2CD1C860" w14:textId="77777777" w:rsidR="005A0CC1" w:rsidRPr="005A0CC1" w:rsidRDefault="005A0CC1" w:rsidP="005A0CC1">
      <w:pPr>
        <w:widowControl/>
        <w:spacing w:line="259" w:lineRule="auto"/>
        <w:rPr>
          <w:rFonts w:ascii="Times New Roman" w:eastAsia="Aptos" w:hAnsi="Times New Roman" w:cs="Times New Roman"/>
          <w:color w:val="auto"/>
          <w:kern w:val="2"/>
          <w:sz w:val="20"/>
          <w:szCs w:val="20"/>
          <w:lang w:eastAsia="en-US" w:bidi="ar-SA"/>
          <w14:ligatures w14:val="standardContextual"/>
        </w:rPr>
      </w:pPr>
    </w:p>
    <w:tbl>
      <w:tblPr>
        <w:tblStyle w:val="Reetkatablice2"/>
        <w:tblW w:w="5000" w:type="pct"/>
        <w:tblLook w:val="04A0" w:firstRow="1" w:lastRow="0" w:firstColumn="1" w:lastColumn="0" w:noHBand="0" w:noVBand="1"/>
      </w:tblPr>
      <w:tblGrid>
        <w:gridCol w:w="4506"/>
        <w:gridCol w:w="4568"/>
        <w:gridCol w:w="1735"/>
        <w:gridCol w:w="1724"/>
        <w:gridCol w:w="1461"/>
      </w:tblGrid>
      <w:tr w:rsidR="005A0CC1" w:rsidRPr="005A0CC1" w14:paraId="0303B49E" w14:textId="77777777" w:rsidTr="001C7DE3">
        <w:trPr>
          <w:trHeight w:val="673"/>
        </w:trPr>
        <w:tc>
          <w:tcPr>
            <w:tcW w:w="5000" w:type="pct"/>
            <w:gridSpan w:val="5"/>
            <w:shd w:val="clear" w:color="auto" w:fill="B4C6E7" w:themeFill="accent1" w:themeFillTint="66"/>
          </w:tcPr>
          <w:p w14:paraId="0700D907"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4: Učinkovito upravljanje pokretninama u vlasništvu Republike Hrvatske i privremeno oduzetom imovinom</w:t>
            </w:r>
          </w:p>
          <w:p w14:paraId="4692A654"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MJERA: 4.2. Unaprjeđenje upravljanja privremeno oduzetom imovinom</w:t>
            </w:r>
          </w:p>
        </w:tc>
      </w:tr>
      <w:tr w:rsidR="005A0CC1" w:rsidRPr="005A0CC1" w14:paraId="56695626" w14:textId="77777777" w:rsidTr="001C7DE3">
        <w:trPr>
          <w:trHeight w:val="910"/>
        </w:trPr>
        <w:tc>
          <w:tcPr>
            <w:tcW w:w="1610" w:type="pct"/>
            <w:shd w:val="clear" w:color="auto" w:fill="B4C6E7" w:themeFill="accent1" w:themeFillTint="66"/>
            <w:vAlign w:val="center"/>
            <w:hideMark/>
          </w:tcPr>
          <w:p w14:paraId="4034CB8B"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44716B8A"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632" w:type="pct"/>
            <w:shd w:val="clear" w:color="auto" w:fill="B4C6E7" w:themeFill="accent1" w:themeFillTint="66"/>
            <w:vAlign w:val="center"/>
            <w:hideMark/>
          </w:tcPr>
          <w:p w14:paraId="4E376805"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620" w:type="pct"/>
            <w:shd w:val="clear" w:color="auto" w:fill="B4C6E7" w:themeFill="accent1" w:themeFillTint="66"/>
            <w:vAlign w:val="center"/>
            <w:hideMark/>
          </w:tcPr>
          <w:p w14:paraId="3E9E6E5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616" w:type="pct"/>
            <w:shd w:val="clear" w:color="auto" w:fill="B4C6E7" w:themeFill="accent1" w:themeFillTint="66"/>
            <w:vAlign w:val="center"/>
            <w:hideMark/>
          </w:tcPr>
          <w:p w14:paraId="5EFB05D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522" w:type="pct"/>
            <w:shd w:val="clear" w:color="auto" w:fill="B4C6E7" w:themeFill="accent1" w:themeFillTint="66"/>
            <w:vAlign w:val="center"/>
          </w:tcPr>
          <w:p w14:paraId="5F1C294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2C4E93D6" w14:textId="77777777" w:rsidTr="001C7DE3">
        <w:trPr>
          <w:trHeight w:val="1388"/>
        </w:trPr>
        <w:tc>
          <w:tcPr>
            <w:tcW w:w="1610" w:type="pct"/>
            <w:vMerge w:val="restart"/>
          </w:tcPr>
          <w:p w14:paraId="221ACE37"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4.2.1. Aktivacija pokretnina i nekretnina koje su privremeno oduzete u kaznenim postupcima kroz prodaju/davanje na uporabu/ najam ili zakup, a za koje je donesena odluka nadležnog tijela o privremenom oduzimanju i predaji na upravljanje MPGI te koje su u posjedu MPGI</w:t>
            </w:r>
          </w:p>
        </w:tc>
        <w:tc>
          <w:tcPr>
            <w:tcW w:w="1632" w:type="pct"/>
          </w:tcPr>
          <w:p w14:paraId="7965E8B9"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donesenih odluka o prodaji/davanju na uporabu/ najmu ili zakupu privremeno oduzetih pokretnina i nekretnina u odnosu na broj pokretnina i nekretnina za koje je donesena odluka nadležnog tijela o privremenom oduzimanju i predaji na upravljanje MPGI te koje su u posjedu MPGI</w:t>
            </w:r>
          </w:p>
        </w:tc>
        <w:tc>
          <w:tcPr>
            <w:tcW w:w="620" w:type="pct"/>
            <w:tcBorders>
              <w:top w:val="single" w:sz="4" w:space="0" w:color="auto"/>
              <w:left w:val="single" w:sz="4" w:space="0" w:color="auto"/>
              <w:bottom w:val="single" w:sz="4" w:space="0" w:color="auto"/>
              <w:right w:val="single" w:sz="4" w:space="0" w:color="auto"/>
            </w:tcBorders>
            <w:shd w:val="clear" w:color="000000" w:fill="FFFFFF"/>
            <w:vAlign w:val="center"/>
          </w:tcPr>
          <w:p w14:paraId="559DEBC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66,66 %</w:t>
            </w:r>
            <w:r w:rsidRPr="005A0CC1">
              <w:rPr>
                <w:rFonts w:ascii="Times New Roman" w:eastAsia="Aptos" w:hAnsi="Times New Roman" w:cs="Times New Roman"/>
                <w:color w:val="auto"/>
                <w:kern w:val="2"/>
                <w:sz w:val="20"/>
                <w:szCs w:val="20"/>
                <w:lang w:eastAsia="en-US" w:bidi="ar-SA"/>
                <w14:ligatures w14:val="standardContextual"/>
              </w:rPr>
              <w:br/>
              <w:t>(broj Odluka Ministarstva: 14</w:t>
            </w:r>
            <w:r w:rsidRPr="005A0CC1">
              <w:rPr>
                <w:rFonts w:ascii="Times New Roman" w:eastAsia="Aptos" w:hAnsi="Times New Roman" w:cs="Times New Roman"/>
                <w:color w:val="auto"/>
                <w:kern w:val="2"/>
                <w:sz w:val="20"/>
                <w:szCs w:val="20"/>
                <w:lang w:eastAsia="en-US" w:bidi="ar-SA"/>
                <w14:ligatures w14:val="standardContextual"/>
              </w:rPr>
              <w:br/>
              <w:t>broj preuzetnih pokretnina: 21)</w:t>
            </w:r>
          </w:p>
        </w:tc>
        <w:tc>
          <w:tcPr>
            <w:tcW w:w="616" w:type="pct"/>
            <w:tcBorders>
              <w:top w:val="single" w:sz="4" w:space="0" w:color="auto"/>
              <w:left w:val="nil"/>
              <w:bottom w:val="single" w:sz="4" w:space="0" w:color="auto"/>
              <w:right w:val="single" w:sz="4" w:space="0" w:color="auto"/>
            </w:tcBorders>
            <w:shd w:val="clear" w:color="000000" w:fill="FFFFFF"/>
            <w:vAlign w:val="center"/>
          </w:tcPr>
          <w:p w14:paraId="266A3058"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70 %</w:t>
            </w:r>
          </w:p>
        </w:tc>
        <w:tc>
          <w:tcPr>
            <w:tcW w:w="522" w:type="pct"/>
            <w:vAlign w:val="center"/>
          </w:tcPr>
          <w:p w14:paraId="52CD62A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01F93306" w14:textId="77777777" w:rsidTr="001C7DE3">
        <w:trPr>
          <w:trHeight w:val="1138"/>
        </w:trPr>
        <w:tc>
          <w:tcPr>
            <w:tcW w:w="1610" w:type="pct"/>
            <w:vMerge/>
          </w:tcPr>
          <w:p w14:paraId="5D8A332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tc>
        <w:tc>
          <w:tcPr>
            <w:tcW w:w="1632" w:type="pct"/>
          </w:tcPr>
          <w:p w14:paraId="19DA85FE"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Vrijednost privremeno oduzetih pokretnina i nekretnina predanih kupcima, korisnicima, najmoprimcima ili zakupcima, a za koje je donesena odluka o prodaji/davanju na uporabu/ najmu ili zakupu</w:t>
            </w:r>
          </w:p>
        </w:tc>
        <w:tc>
          <w:tcPr>
            <w:tcW w:w="620" w:type="pct"/>
            <w:vAlign w:val="center"/>
          </w:tcPr>
          <w:p w14:paraId="6F5314A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242.276,14</w:t>
            </w:r>
          </w:p>
        </w:tc>
        <w:tc>
          <w:tcPr>
            <w:tcW w:w="616" w:type="pct"/>
            <w:vAlign w:val="center"/>
          </w:tcPr>
          <w:p w14:paraId="614CFB8D"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300.000,00</w:t>
            </w:r>
          </w:p>
        </w:tc>
        <w:tc>
          <w:tcPr>
            <w:tcW w:w="522" w:type="pct"/>
            <w:vAlign w:val="center"/>
          </w:tcPr>
          <w:p w14:paraId="615B2DCE"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5874E0A9" w14:textId="77777777" w:rsidTr="001C7DE3">
        <w:trPr>
          <w:trHeight w:val="606"/>
        </w:trPr>
        <w:tc>
          <w:tcPr>
            <w:tcW w:w="1610" w:type="pct"/>
          </w:tcPr>
          <w:p w14:paraId="502711F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lastRenderedPageBreak/>
              <w:t>4.2.2. Upravljanje privremeno oduzetim novčanim sredstvima uplaćenim na jedinstveni račun Državnog proračuna i račun za strane valute kod kreditne institucije ovisno o pravomoćnim sudskim odlukama</w:t>
            </w:r>
          </w:p>
        </w:tc>
        <w:tc>
          <w:tcPr>
            <w:tcW w:w="1632" w:type="pct"/>
          </w:tcPr>
          <w:p w14:paraId="05E9380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5F183D3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Vrijednost izvršenih pravomoćnih odluka</w:t>
            </w:r>
          </w:p>
        </w:tc>
        <w:tc>
          <w:tcPr>
            <w:tcW w:w="620" w:type="pct"/>
            <w:vAlign w:val="center"/>
          </w:tcPr>
          <w:p w14:paraId="3FF12F7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8.057.906,57</w:t>
            </w:r>
          </w:p>
        </w:tc>
        <w:tc>
          <w:tcPr>
            <w:tcW w:w="616" w:type="pct"/>
            <w:vAlign w:val="center"/>
          </w:tcPr>
          <w:p w14:paraId="22B5A7F7"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4.500.000,00</w:t>
            </w:r>
          </w:p>
        </w:tc>
        <w:tc>
          <w:tcPr>
            <w:tcW w:w="522" w:type="pct"/>
            <w:vAlign w:val="center"/>
          </w:tcPr>
          <w:p w14:paraId="2DF9852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16DB8A8A"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7F5E8D1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6958D8EB"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p>
    <w:p w14:paraId="1086968D"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tbl>
      <w:tblPr>
        <w:tblStyle w:val="Reetkatablice2"/>
        <w:tblW w:w="5000" w:type="pct"/>
        <w:tblLook w:val="04A0" w:firstRow="1" w:lastRow="0" w:firstColumn="1" w:lastColumn="0" w:noHBand="0" w:noVBand="1"/>
      </w:tblPr>
      <w:tblGrid>
        <w:gridCol w:w="4506"/>
        <w:gridCol w:w="4568"/>
        <w:gridCol w:w="1735"/>
        <w:gridCol w:w="1724"/>
        <w:gridCol w:w="1461"/>
      </w:tblGrid>
      <w:tr w:rsidR="005A0CC1" w:rsidRPr="005A0CC1" w14:paraId="2E91DDC0" w14:textId="77777777" w:rsidTr="001C7DE3">
        <w:trPr>
          <w:trHeight w:val="673"/>
        </w:trPr>
        <w:tc>
          <w:tcPr>
            <w:tcW w:w="5000" w:type="pct"/>
            <w:gridSpan w:val="5"/>
            <w:shd w:val="clear" w:color="auto" w:fill="B4C6E7" w:themeFill="accent1" w:themeFillTint="66"/>
          </w:tcPr>
          <w:p w14:paraId="164A5746" w14:textId="77777777" w:rsidR="005A0CC1" w:rsidRPr="005A0CC1" w:rsidRDefault="005A0CC1" w:rsidP="005A0CC1">
            <w:pPr>
              <w:widowControl/>
              <w:jc w:val="center"/>
              <w:rPr>
                <w:rFonts w:ascii="Times New Roman" w:eastAsia="Aptos" w:hAnsi="Times New Roman" w:cs="Times New Roman"/>
                <w:b/>
                <w:bCs/>
                <w:color w:val="auto"/>
                <w:kern w:val="2"/>
                <w:sz w:val="28"/>
                <w:szCs w:val="28"/>
                <w:lang w:eastAsia="en-US" w:bidi="ar-SA"/>
                <w14:ligatures w14:val="standardContextual"/>
              </w:rPr>
            </w:pPr>
            <w:r w:rsidRPr="005A0CC1">
              <w:rPr>
                <w:rFonts w:ascii="Times New Roman" w:eastAsia="Aptos" w:hAnsi="Times New Roman" w:cs="Times New Roman"/>
                <w:b/>
                <w:bCs/>
                <w:color w:val="auto"/>
                <w:kern w:val="2"/>
                <w:sz w:val="28"/>
                <w:szCs w:val="28"/>
                <w:lang w:eastAsia="en-US" w:bidi="ar-SA"/>
                <w14:ligatures w14:val="standardContextual"/>
              </w:rPr>
              <w:t>STRATEŠKI CILJ 4: Učinkovito upravljanje pokretninama u vlasništvu Republike Hrvatske i privremeno oduzetom imovinom</w:t>
            </w:r>
          </w:p>
          <w:p w14:paraId="3D02C6D0" w14:textId="77777777" w:rsidR="005A0CC1" w:rsidRPr="005A0CC1" w:rsidRDefault="005A0CC1" w:rsidP="005A0CC1">
            <w:pPr>
              <w:widowControl/>
              <w:jc w:val="center"/>
              <w:rPr>
                <w:rFonts w:ascii="Times New Roman" w:eastAsia="Aptos" w:hAnsi="Times New Roman" w:cs="Times New Roman"/>
                <w:b/>
                <w:bCs/>
                <w:color w:val="auto"/>
                <w:kern w:val="2"/>
                <w:sz w:val="24"/>
                <w:szCs w:val="24"/>
                <w:lang w:eastAsia="en-US" w:bidi="ar-SA"/>
                <w14:ligatures w14:val="standardContextual"/>
              </w:rPr>
            </w:pPr>
            <w:r w:rsidRPr="005A0CC1">
              <w:rPr>
                <w:rFonts w:ascii="Times New Roman" w:eastAsia="Aptos" w:hAnsi="Times New Roman" w:cs="Times New Roman"/>
                <w:b/>
                <w:bCs/>
                <w:color w:val="auto"/>
                <w:kern w:val="2"/>
                <w:sz w:val="24"/>
                <w:szCs w:val="24"/>
                <w:lang w:eastAsia="en-US" w:bidi="ar-SA"/>
                <w14:ligatures w14:val="standardContextual"/>
              </w:rPr>
              <w:t xml:space="preserve">MJERA: 4.3. </w:t>
            </w:r>
            <w:r w:rsidRPr="005A0CC1">
              <w:rPr>
                <w:rFonts w:ascii="Times New Roman" w:eastAsia="Aptos" w:hAnsi="Times New Roman" w:cs="Times New Roman"/>
                <w:b/>
                <w:bCs/>
                <w:color w:val="auto"/>
                <w:kern w:val="2"/>
                <w:sz w:val="24"/>
                <w:szCs w:val="24"/>
                <w:lang w:eastAsia="en-US"/>
                <w14:ligatures w14:val="standardContextual"/>
              </w:rPr>
              <w:t>Donošenje i provedba akcijskog plana u području oduzimanja i povrata imovine</w:t>
            </w:r>
          </w:p>
        </w:tc>
      </w:tr>
      <w:tr w:rsidR="005A0CC1" w:rsidRPr="005A0CC1" w14:paraId="08608ADD" w14:textId="77777777" w:rsidTr="001C7DE3">
        <w:trPr>
          <w:trHeight w:val="910"/>
        </w:trPr>
        <w:tc>
          <w:tcPr>
            <w:tcW w:w="1610" w:type="pct"/>
            <w:shd w:val="clear" w:color="auto" w:fill="B4C6E7" w:themeFill="accent1" w:themeFillTint="66"/>
            <w:vAlign w:val="center"/>
            <w:hideMark/>
          </w:tcPr>
          <w:p w14:paraId="2CF4CD77"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AKTIVNOSTI/</w:t>
            </w:r>
          </w:p>
          <w:p w14:paraId="467B295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NAČIN OSTVARENJA</w:t>
            </w:r>
          </w:p>
        </w:tc>
        <w:tc>
          <w:tcPr>
            <w:tcW w:w="1632" w:type="pct"/>
            <w:shd w:val="clear" w:color="auto" w:fill="B4C6E7" w:themeFill="accent1" w:themeFillTint="66"/>
            <w:vAlign w:val="center"/>
            <w:hideMark/>
          </w:tcPr>
          <w:p w14:paraId="7DEDEA02"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POKAZATELJI REZULTATA ZA AKTIVNOSTI</w:t>
            </w:r>
          </w:p>
        </w:tc>
        <w:tc>
          <w:tcPr>
            <w:tcW w:w="620" w:type="pct"/>
            <w:shd w:val="clear" w:color="auto" w:fill="B4C6E7" w:themeFill="accent1" w:themeFillTint="66"/>
            <w:vAlign w:val="center"/>
            <w:hideMark/>
          </w:tcPr>
          <w:p w14:paraId="2B375526"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POČETNA VRIJEDNOST </w:t>
            </w:r>
          </w:p>
        </w:tc>
        <w:tc>
          <w:tcPr>
            <w:tcW w:w="616" w:type="pct"/>
            <w:shd w:val="clear" w:color="auto" w:fill="B4C6E7" w:themeFill="accent1" w:themeFillTint="66"/>
            <w:vAlign w:val="center"/>
            <w:hideMark/>
          </w:tcPr>
          <w:p w14:paraId="04CA678D"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 xml:space="preserve">CILJANA VRIJEDNOST </w:t>
            </w:r>
          </w:p>
        </w:tc>
        <w:tc>
          <w:tcPr>
            <w:tcW w:w="522" w:type="pct"/>
            <w:shd w:val="clear" w:color="auto" w:fill="B4C6E7" w:themeFill="accent1" w:themeFillTint="66"/>
            <w:vAlign w:val="center"/>
          </w:tcPr>
          <w:p w14:paraId="63F35068" w14:textId="77777777" w:rsidR="005A0CC1" w:rsidRPr="005A0CC1" w:rsidRDefault="005A0CC1" w:rsidP="005A0CC1">
            <w:pPr>
              <w:widowControl/>
              <w:jc w:val="center"/>
              <w:rPr>
                <w:rFonts w:ascii="Times New Roman" w:eastAsia="Aptos" w:hAnsi="Times New Roman" w:cs="Times New Roman"/>
                <w:b/>
                <w:bCs/>
                <w:color w:val="auto"/>
                <w:kern w:val="2"/>
                <w:sz w:val="20"/>
                <w:szCs w:val="20"/>
                <w:lang w:eastAsia="en-US" w:bidi="ar-SA"/>
                <w14:ligatures w14:val="standardContextual"/>
              </w:rPr>
            </w:pPr>
            <w:r w:rsidRPr="005A0CC1">
              <w:rPr>
                <w:rFonts w:ascii="Times New Roman" w:eastAsia="Aptos" w:hAnsi="Times New Roman" w:cs="Times New Roman"/>
                <w:b/>
                <w:bCs/>
                <w:color w:val="auto"/>
                <w:kern w:val="2"/>
                <w:sz w:val="20"/>
                <w:szCs w:val="20"/>
                <w:lang w:eastAsia="en-US" w:bidi="ar-SA"/>
                <w14:ligatures w14:val="standardContextual"/>
              </w:rPr>
              <w:t>NOSITELJ PROVEDBE</w:t>
            </w:r>
          </w:p>
        </w:tc>
      </w:tr>
      <w:tr w:rsidR="005A0CC1" w:rsidRPr="005A0CC1" w14:paraId="080655E4" w14:textId="77777777" w:rsidTr="001C7DE3">
        <w:trPr>
          <w:trHeight w:val="549"/>
        </w:trPr>
        <w:tc>
          <w:tcPr>
            <w:tcW w:w="1610" w:type="pct"/>
          </w:tcPr>
          <w:p w14:paraId="7ABBF508"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4.3.1. Izrada i usuglašavanje Akcijskog plana u području oduzimanja i povrata imovine</w:t>
            </w:r>
          </w:p>
        </w:tc>
        <w:tc>
          <w:tcPr>
            <w:tcW w:w="1632" w:type="pct"/>
          </w:tcPr>
          <w:p w14:paraId="17B42F51"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 nacrt Akcijskog plana</w:t>
            </w:r>
          </w:p>
        </w:tc>
        <w:tc>
          <w:tcPr>
            <w:tcW w:w="620" w:type="pct"/>
            <w:tcBorders>
              <w:top w:val="single" w:sz="4" w:space="0" w:color="auto"/>
              <w:left w:val="single" w:sz="4" w:space="0" w:color="auto"/>
              <w:bottom w:val="single" w:sz="4" w:space="0" w:color="auto"/>
              <w:right w:val="single" w:sz="4" w:space="0" w:color="auto"/>
            </w:tcBorders>
            <w:shd w:val="clear" w:color="000000" w:fill="FFFFFF"/>
            <w:vAlign w:val="center"/>
          </w:tcPr>
          <w:p w14:paraId="7687F031"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616" w:type="pct"/>
            <w:tcBorders>
              <w:top w:val="single" w:sz="4" w:space="0" w:color="auto"/>
              <w:left w:val="nil"/>
              <w:bottom w:val="single" w:sz="4" w:space="0" w:color="auto"/>
              <w:right w:val="single" w:sz="4" w:space="0" w:color="auto"/>
            </w:tcBorders>
            <w:shd w:val="clear" w:color="000000" w:fill="FFFFFF"/>
            <w:vAlign w:val="center"/>
          </w:tcPr>
          <w:p w14:paraId="581689BA"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522" w:type="pct"/>
            <w:vAlign w:val="center"/>
          </w:tcPr>
          <w:p w14:paraId="73AE7D3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1C2D4A78" w14:textId="77777777" w:rsidTr="001C7DE3">
        <w:trPr>
          <w:trHeight w:val="606"/>
        </w:trPr>
        <w:tc>
          <w:tcPr>
            <w:tcW w:w="1610" w:type="pct"/>
          </w:tcPr>
          <w:p w14:paraId="7619B43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4.3.2. Uspostava okvira za praćenje i evaluaciju provedbe Akcijskog plana</w:t>
            </w:r>
          </w:p>
        </w:tc>
        <w:tc>
          <w:tcPr>
            <w:tcW w:w="1632" w:type="pct"/>
          </w:tcPr>
          <w:p w14:paraId="53237826"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Izrađen okvir za praćenje i evaluaciju Akcijskog plana</w:t>
            </w:r>
          </w:p>
        </w:tc>
        <w:tc>
          <w:tcPr>
            <w:tcW w:w="620" w:type="pct"/>
            <w:vAlign w:val="center"/>
          </w:tcPr>
          <w:p w14:paraId="12C51F73"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616" w:type="pct"/>
            <w:vAlign w:val="center"/>
          </w:tcPr>
          <w:p w14:paraId="2F5449DB"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1</w:t>
            </w:r>
          </w:p>
        </w:tc>
        <w:tc>
          <w:tcPr>
            <w:tcW w:w="522" w:type="pct"/>
            <w:vAlign w:val="center"/>
          </w:tcPr>
          <w:p w14:paraId="4FA2308C"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r w:rsidR="005A0CC1" w:rsidRPr="005A0CC1" w14:paraId="3A11102B" w14:textId="77777777" w:rsidTr="001C7DE3">
        <w:trPr>
          <w:trHeight w:val="606"/>
        </w:trPr>
        <w:tc>
          <w:tcPr>
            <w:tcW w:w="1610" w:type="pct"/>
          </w:tcPr>
          <w:p w14:paraId="108EAEB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4.3.3. Uspostava stalnog međuresornog mehanizma koordinacije u području oduzimanja i povrata imovine</w:t>
            </w:r>
          </w:p>
        </w:tc>
        <w:tc>
          <w:tcPr>
            <w:tcW w:w="1632" w:type="pct"/>
          </w:tcPr>
          <w:p w14:paraId="4CD27DFF" w14:textId="77777777" w:rsidR="005A0CC1" w:rsidRPr="005A0CC1" w:rsidRDefault="005A0CC1" w:rsidP="005A0CC1">
            <w:pPr>
              <w:widowControl/>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Broj održanih koordinacijskih sastanaka</w:t>
            </w:r>
          </w:p>
        </w:tc>
        <w:tc>
          <w:tcPr>
            <w:tcW w:w="620" w:type="pct"/>
          </w:tcPr>
          <w:p w14:paraId="42388AB6"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p>
          <w:p w14:paraId="0E2E3140"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0</w:t>
            </w:r>
          </w:p>
        </w:tc>
        <w:tc>
          <w:tcPr>
            <w:tcW w:w="616" w:type="pct"/>
            <w:vAlign w:val="center"/>
          </w:tcPr>
          <w:p w14:paraId="1D242285"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2</w:t>
            </w:r>
          </w:p>
        </w:tc>
        <w:tc>
          <w:tcPr>
            <w:tcW w:w="522" w:type="pct"/>
            <w:vAlign w:val="center"/>
          </w:tcPr>
          <w:p w14:paraId="0E4CF99F" w14:textId="77777777" w:rsidR="005A0CC1" w:rsidRPr="005A0CC1" w:rsidRDefault="005A0CC1" w:rsidP="005A0CC1">
            <w:pPr>
              <w:widowControl/>
              <w:jc w:val="center"/>
              <w:rPr>
                <w:rFonts w:ascii="Times New Roman" w:eastAsia="Aptos" w:hAnsi="Times New Roman" w:cs="Times New Roman"/>
                <w:color w:val="auto"/>
                <w:kern w:val="2"/>
                <w:sz w:val="20"/>
                <w:szCs w:val="20"/>
                <w:lang w:eastAsia="en-US" w:bidi="ar-SA"/>
                <w14:ligatures w14:val="standardContextual"/>
              </w:rPr>
            </w:pPr>
            <w:r w:rsidRPr="005A0CC1">
              <w:rPr>
                <w:rFonts w:ascii="Times New Roman" w:eastAsia="Aptos" w:hAnsi="Times New Roman" w:cs="Times New Roman"/>
                <w:color w:val="auto"/>
                <w:kern w:val="2"/>
                <w:sz w:val="20"/>
                <w:szCs w:val="20"/>
                <w:lang w:eastAsia="en-US" w:bidi="ar-SA"/>
                <w14:ligatures w14:val="standardContextual"/>
              </w:rPr>
              <w:t>MPGI</w:t>
            </w:r>
          </w:p>
        </w:tc>
      </w:tr>
    </w:tbl>
    <w:p w14:paraId="3BA61F6F" w14:textId="77777777" w:rsidR="005A0CC1" w:rsidRPr="005A0CC1" w:rsidRDefault="005A0CC1" w:rsidP="005A0CC1">
      <w:pPr>
        <w:widowControl/>
        <w:spacing w:after="160" w:line="259" w:lineRule="auto"/>
        <w:rPr>
          <w:rFonts w:ascii="Times New Roman" w:eastAsia="Aptos" w:hAnsi="Times New Roman" w:cs="Times New Roman"/>
          <w:color w:val="auto"/>
          <w:kern w:val="2"/>
          <w:sz w:val="18"/>
          <w:szCs w:val="18"/>
          <w:lang w:eastAsia="en-US" w:bidi="ar-SA"/>
          <w14:ligatures w14:val="standardContextual"/>
        </w:rPr>
      </w:pPr>
      <w:r w:rsidRPr="005A0CC1">
        <w:rPr>
          <w:rFonts w:ascii="Times New Roman" w:eastAsia="Aptos" w:hAnsi="Times New Roman" w:cs="Times New Roman"/>
          <w:color w:val="auto"/>
          <w:kern w:val="2"/>
          <w:sz w:val="18"/>
          <w:szCs w:val="18"/>
          <w:lang w:eastAsia="en-US" w:bidi="ar-SA"/>
          <w14:ligatures w14:val="standardContextual"/>
        </w:rPr>
        <w:t>Napomena: Početnu vrijednost pokazatelja rezultata predstavlja ostvarena vrijednost na dan 31. prosinca 2025., a ciljanu vrijednost predstavlja planirana vrijednost na dan 31. prosinca 2026.</w:t>
      </w:r>
    </w:p>
    <w:p w14:paraId="6F10A8AF"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31D46941" w14:textId="77777777" w:rsidR="005A0CC1" w:rsidRPr="005A0CC1" w:rsidRDefault="005A0CC1" w:rsidP="005A0CC1">
      <w:pPr>
        <w:widowControl/>
        <w:spacing w:after="160" w:line="259" w:lineRule="auto"/>
        <w:rPr>
          <w:rFonts w:ascii="Times New Roman" w:eastAsia="Aptos" w:hAnsi="Times New Roman" w:cs="Times New Roman"/>
          <w:color w:val="auto"/>
          <w:kern w:val="2"/>
          <w:sz w:val="20"/>
          <w:szCs w:val="20"/>
          <w:lang w:eastAsia="en-US" w:bidi="ar-SA"/>
          <w14:ligatures w14:val="standardContextual"/>
        </w:rPr>
        <w:sectPr w:rsidR="005A0CC1" w:rsidRPr="005A0CC1" w:rsidSect="005A0CC1">
          <w:pgSz w:w="16838" w:h="11906" w:orient="landscape"/>
          <w:pgMar w:top="1417" w:right="1417" w:bottom="1417" w:left="1417" w:header="708" w:footer="708" w:gutter="0"/>
          <w:cols w:space="708"/>
          <w:docGrid w:linePitch="360"/>
        </w:sectPr>
      </w:pPr>
    </w:p>
    <w:p w14:paraId="291C2AF1" w14:textId="77777777" w:rsidR="00152014" w:rsidRPr="00AF5198" w:rsidRDefault="00152014" w:rsidP="00AF5198">
      <w:pPr>
        <w:widowControl/>
        <w:spacing w:after="160" w:line="259" w:lineRule="auto"/>
        <w:rPr>
          <w:rFonts w:ascii="Times New Roman" w:eastAsia="Aptos" w:hAnsi="Times New Roman" w:cs="Times New Roman"/>
          <w:color w:val="auto"/>
          <w:kern w:val="2"/>
          <w:sz w:val="20"/>
          <w:szCs w:val="20"/>
          <w:lang w:eastAsia="en-US" w:bidi="ar-SA"/>
          <w14:ligatures w14:val="standardContextual"/>
        </w:rPr>
        <w:sectPr w:rsidR="00152014" w:rsidRPr="00AF5198" w:rsidSect="00AF5198">
          <w:headerReference w:type="default" r:id="rId18"/>
          <w:footerReference w:type="default" r:id="rId19"/>
          <w:pgSz w:w="16838" w:h="11906" w:orient="landscape"/>
          <w:pgMar w:top="1417" w:right="1417" w:bottom="1417" w:left="1417" w:header="708" w:footer="708" w:gutter="0"/>
          <w:cols w:space="708"/>
          <w:docGrid w:linePitch="360"/>
        </w:sectPr>
      </w:pPr>
    </w:p>
    <w:p w14:paraId="00966B23" w14:textId="77777777" w:rsidR="00BE037A" w:rsidRPr="00353620" w:rsidRDefault="00BE037A" w:rsidP="007551F0">
      <w:pPr>
        <w:rPr>
          <w:rFonts w:asciiTheme="minorHAnsi" w:eastAsia="Times New Roman" w:hAnsiTheme="minorHAnsi" w:cstheme="minorHAnsi"/>
          <w:color w:val="0563C1" w:themeColor="hyperlink"/>
          <w:sz w:val="18"/>
          <w:szCs w:val="18"/>
          <w:u w:val="single"/>
          <w:lang w:bidi="ar-SA"/>
        </w:rPr>
      </w:pPr>
    </w:p>
    <w:sectPr w:rsidR="00BE037A" w:rsidRPr="00353620" w:rsidSect="00AF5198">
      <w:type w:val="continuous"/>
      <w:pgSz w:w="16838" w:h="11906" w:orient="landscape"/>
      <w:pgMar w:top="1417" w:right="1417" w:bottom="1417" w:left="141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FFCB" w14:textId="77777777" w:rsidR="00285C19" w:rsidRDefault="00285C19" w:rsidP="002A769B">
      <w:r>
        <w:separator/>
      </w:r>
    </w:p>
  </w:endnote>
  <w:endnote w:type="continuationSeparator" w:id="0">
    <w:p w14:paraId="24AA00DB" w14:textId="77777777" w:rsidR="00285C19" w:rsidRDefault="00285C19" w:rsidP="002A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D38" w14:textId="77777777" w:rsidR="005A0CC1" w:rsidRPr="00A270D5" w:rsidRDefault="005A0CC1">
    <w:pPr>
      <w:pStyle w:val="Footer"/>
      <w:jc w:val="center"/>
      <w:rPr>
        <w:rFonts w:ascii="Times New Roman" w:hAnsi="Times New Roman" w:cs="Times New Roman"/>
        <w:sz w:val="20"/>
        <w:szCs w:val="20"/>
      </w:rPr>
    </w:pPr>
  </w:p>
  <w:p w14:paraId="51C9613A" w14:textId="77777777" w:rsidR="005A0CC1" w:rsidRDefault="005A0CC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EA1" w14:textId="77777777" w:rsidR="005A0CC1" w:rsidRDefault="005A0CC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084789"/>
      <w:docPartObj>
        <w:docPartGallery w:val="Page Numbers (Bottom of Page)"/>
        <w:docPartUnique/>
      </w:docPartObj>
    </w:sdtPr>
    <w:sdtEndPr>
      <w:rPr>
        <w:rFonts w:ascii="Times New Roman" w:hAnsi="Times New Roman" w:cs="Times New Roman"/>
        <w:sz w:val="20"/>
        <w:szCs w:val="20"/>
      </w:rPr>
    </w:sdtEndPr>
    <w:sdtContent>
      <w:p w14:paraId="18A6897E" w14:textId="6067375F" w:rsidR="00A270D5" w:rsidRPr="00A270D5" w:rsidRDefault="00A270D5">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p w14:paraId="79B2CD2B" w14:textId="77777777" w:rsidR="00A1099C" w:rsidRDefault="00A1099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DB541" w14:textId="77777777" w:rsidR="00285C19" w:rsidRDefault="00285C19" w:rsidP="002A769B">
      <w:r>
        <w:separator/>
      </w:r>
    </w:p>
  </w:footnote>
  <w:footnote w:type="continuationSeparator" w:id="0">
    <w:p w14:paraId="6EF70AE9" w14:textId="77777777" w:rsidR="00285C19" w:rsidRDefault="00285C19" w:rsidP="002A769B">
      <w:r>
        <w:continuationSeparator/>
      </w:r>
    </w:p>
  </w:footnote>
  <w:footnote w:id="1">
    <w:p w14:paraId="262AE5B5" w14:textId="77777777" w:rsidR="005A0CC1" w:rsidRDefault="005A0CC1" w:rsidP="005A0CC1">
      <w:pPr>
        <w:pStyle w:val="FootnoteText"/>
      </w:pPr>
      <w:r w:rsidRPr="00D07CB8">
        <w:rPr>
          <w:rStyle w:val="Footnote"/>
          <w:rFonts w:ascii="Times New Roman" w:eastAsia="Courier New" w:hAnsi="Times New Roman" w:cs="Times New Roman"/>
          <w:color w:val="auto"/>
          <w:kern w:val="2"/>
          <w:sz w:val="16"/>
          <w:szCs w:val="16"/>
          <w:vertAlign w:val="superscript"/>
          <w:lang w:eastAsia="en-US" w:bidi="ar-SA"/>
          <w14:ligatures w14:val="standardContextual"/>
        </w:rPr>
        <w:footnoteRef/>
      </w:r>
      <w:r w:rsidRPr="00121493">
        <w:rPr>
          <w:rStyle w:val="Footnote"/>
          <w:rFonts w:ascii="Times New Roman" w:eastAsia="Courier New" w:hAnsi="Times New Roman" w:cs="Times New Roman"/>
          <w:color w:val="auto"/>
          <w:kern w:val="2"/>
          <w:sz w:val="16"/>
          <w:szCs w:val="16"/>
          <w:lang w:eastAsia="en-US" w:bidi="ar-SA"/>
          <w14:ligatures w14:val="standardContextual"/>
        </w:rPr>
        <w:t xml:space="preserve"> </w:t>
      </w:r>
      <w:r>
        <w:rPr>
          <w:rStyle w:val="Footnote"/>
          <w:rFonts w:ascii="Times New Roman" w:eastAsia="Courier New" w:hAnsi="Times New Roman" w:cs="Times New Roman"/>
          <w:color w:val="auto"/>
          <w:kern w:val="2"/>
          <w:sz w:val="16"/>
          <w:szCs w:val="16"/>
          <w:lang w:eastAsia="en-US" w:bidi="ar-SA"/>
          <w14:ligatures w14:val="standardContextual"/>
        </w:rPr>
        <w:t xml:space="preserve">Zakon je dostupan na poveznici: </w:t>
      </w:r>
      <w:r w:rsidRPr="00121493">
        <w:rPr>
          <w:rStyle w:val="Footnote"/>
          <w:rFonts w:ascii="Times New Roman" w:eastAsia="Courier New" w:hAnsi="Times New Roman" w:cs="Times New Roman"/>
          <w:color w:val="auto"/>
          <w:kern w:val="2"/>
          <w:sz w:val="16"/>
          <w:szCs w:val="16"/>
          <w:lang w:eastAsia="en-US" w:bidi="ar-SA"/>
          <w14:ligatures w14:val="standardContextual"/>
        </w:rPr>
        <w:t>https://narodne-novine.nn.hr/clanci/sluzbeni/2023_12_155_2361.html</w:t>
      </w:r>
    </w:p>
  </w:footnote>
  <w:footnote w:id="2">
    <w:p w14:paraId="56BB178F" w14:textId="77777777" w:rsidR="005A0CC1" w:rsidRPr="00B72AF0" w:rsidRDefault="005A0CC1" w:rsidP="005A0CC1">
      <w:pPr>
        <w:pStyle w:val="FootnoteText"/>
        <w:rPr>
          <w:rFonts w:ascii="Times New Roman" w:hAnsi="Times New Roman" w:cs="Times New Roman"/>
          <w:sz w:val="16"/>
          <w:szCs w:val="16"/>
        </w:rPr>
      </w:pPr>
      <w:r>
        <w:rPr>
          <w:rStyle w:val="FootnoteReference"/>
        </w:rPr>
        <w:footnoteRef/>
      </w:r>
      <w:r>
        <w:t xml:space="preserve"> </w:t>
      </w:r>
      <w:r w:rsidRPr="00B72AF0">
        <w:rPr>
          <w:rFonts w:ascii="Times New Roman" w:hAnsi="Times New Roman" w:cs="Times New Roman"/>
          <w:sz w:val="16"/>
          <w:szCs w:val="16"/>
        </w:rPr>
        <w:t>Nekretnine pod posebnim načinom upravljanja su nekretnine koje su postale vlasništvo Republike Hrvatske na temelju Uredbe o zabrani raspolaganja i preuzimanju sredstava određenih pravnih osoba na teritoriju Republike</w:t>
      </w:r>
      <w:r>
        <w:rPr>
          <w:rFonts w:ascii="Times New Roman" w:hAnsi="Times New Roman" w:cs="Times New Roman"/>
          <w:sz w:val="16"/>
          <w:szCs w:val="16"/>
        </w:rPr>
        <w:t xml:space="preserve"> Hrvatske („Narodne novine“, broj</w:t>
      </w:r>
      <w:r w:rsidRPr="00B72AF0">
        <w:rPr>
          <w:rFonts w:ascii="Times New Roman" w:hAnsi="Times New Roman" w:cs="Times New Roman"/>
          <w:sz w:val="16"/>
          <w:szCs w:val="16"/>
        </w:rPr>
        <w:t xml:space="preserve"> 40/92.) odnosno Zakona o zabrani raspolaganja i preuzimanju sredstava određenih pravnih osoba na </w:t>
      </w:r>
      <w:r>
        <w:rPr>
          <w:rFonts w:ascii="Times New Roman" w:hAnsi="Times New Roman" w:cs="Times New Roman"/>
          <w:sz w:val="16"/>
          <w:szCs w:val="16"/>
        </w:rPr>
        <w:t>teritoriju Republike Hrvatske („Narodne novine“</w:t>
      </w:r>
      <w:r w:rsidRPr="00B72AF0">
        <w:rPr>
          <w:rFonts w:ascii="Times New Roman" w:hAnsi="Times New Roman" w:cs="Times New Roman"/>
          <w:sz w:val="16"/>
          <w:szCs w:val="16"/>
        </w:rPr>
        <w:t>, br. 29/94. i 35/94.) i nekretnine</w:t>
      </w:r>
      <w:r w:rsidRPr="00B72AF0">
        <w:rPr>
          <w:sz w:val="16"/>
          <w:szCs w:val="16"/>
        </w:rPr>
        <w:t xml:space="preserve"> </w:t>
      </w:r>
      <w:r w:rsidRPr="00B72AF0">
        <w:rPr>
          <w:rFonts w:ascii="Times New Roman" w:hAnsi="Times New Roman" w:cs="Times New Roman"/>
          <w:sz w:val="16"/>
          <w:szCs w:val="16"/>
        </w:rPr>
        <w:t>koje su pod zabranom raspolaganja na temelju Uredbe o zabrani raspolaganja nekretninama na teritoriju Republike</w:t>
      </w:r>
      <w:r>
        <w:rPr>
          <w:rFonts w:ascii="Times New Roman" w:hAnsi="Times New Roman" w:cs="Times New Roman"/>
          <w:sz w:val="16"/>
          <w:szCs w:val="16"/>
        </w:rPr>
        <w:t xml:space="preserve"> Hrvatske („Narodne novine“, broj</w:t>
      </w:r>
      <w:r w:rsidRPr="00B72AF0">
        <w:rPr>
          <w:rFonts w:ascii="Times New Roman" w:hAnsi="Times New Roman" w:cs="Times New Roman"/>
          <w:sz w:val="16"/>
          <w:szCs w:val="16"/>
        </w:rPr>
        <w:t xml:space="preserve"> 36/91.).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061077"/>
      <w:docPartObj>
        <w:docPartGallery w:val="Page Numbers (Top of Page)"/>
        <w:docPartUnique/>
      </w:docPartObj>
    </w:sdtPr>
    <w:sdtEndPr>
      <w:rPr>
        <w:rFonts w:ascii="Times New Roman" w:hAnsi="Times New Roman" w:cs="Times New Roman"/>
      </w:rPr>
    </w:sdtEndPr>
    <w:sdtContent>
      <w:p w14:paraId="6283BBBD" w14:textId="77777777" w:rsidR="005A0CC1" w:rsidRPr="00A901F5" w:rsidRDefault="005A0CC1">
        <w:pPr>
          <w:pStyle w:val="Header"/>
          <w:jc w:val="center"/>
          <w:rPr>
            <w:rFonts w:ascii="Times New Roman" w:hAnsi="Times New Roman" w:cs="Times New Roman"/>
          </w:rPr>
        </w:pPr>
        <w:r w:rsidRPr="00A901F5">
          <w:rPr>
            <w:rFonts w:ascii="Times New Roman" w:hAnsi="Times New Roman" w:cs="Times New Roman"/>
          </w:rPr>
          <w:fldChar w:fldCharType="begin"/>
        </w:r>
        <w:r w:rsidRPr="00A901F5">
          <w:rPr>
            <w:rFonts w:ascii="Times New Roman" w:hAnsi="Times New Roman" w:cs="Times New Roman"/>
          </w:rPr>
          <w:instrText>PAGE   \* MERGEFORMAT</w:instrText>
        </w:r>
        <w:r w:rsidRPr="00A901F5">
          <w:rPr>
            <w:rFonts w:ascii="Times New Roman" w:hAnsi="Times New Roman" w:cs="Times New Roman"/>
          </w:rPr>
          <w:fldChar w:fldCharType="separate"/>
        </w:r>
        <w:r>
          <w:rPr>
            <w:rFonts w:ascii="Times New Roman" w:hAnsi="Times New Roman" w:cs="Times New Roman"/>
            <w:noProof/>
          </w:rPr>
          <w:t>3</w:t>
        </w:r>
        <w:r w:rsidRPr="00A901F5">
          <w:rPr>
            <w:rFonts w:ascii="Times New Roman" w:hAnsi="Times New Roman" w:cs="Times New Roman"/>
          </w:rPr>
          <w:fldChar w:fldCharType="end"/>
        </w:r>
      </w:p>
    </w:sdtContent>
  </w:sdt>
  <w:p w14:paraId="72C625FD" w14:textId="77777777" w:rsidR="005A0CC1" w:rsidRPr="00FD176C" w:rsidRDefault="005A0CC1" w:rsidP="00A270D5">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669642"/>
      <w:docPartObj>
        <w:docPartGallery w:val="Page Numbers (Top of Page)"/>
        <w:docPartUnique/>
      </w:docPartObj>
    </w:sdtPr>
    <w:sdtEndPr>
      <w:rPr>
        <w:rFonts w:ascii="Times New Roman" w:hAnsi="Times New Roman" w:cs="Times New Roman"/>
      </w:rPr>
    </w:sdtEndPr>
    <w:sdtContent>
      <w:p w14:paraId="6A7AA1CF" w14:textId="77777777" w:rsidR="005A0CC1" w:rsidRPr="00A901F5" w:rsidRDefault="005A0CC1">
        <w:pPr>
          <w:pStyle w:val="Header"/>
          <w:jc w:val="center"/>
          <w:rPr>
            <w:rFonts w:ascii="Times New Roman" w:hAnsi="Times New Roman" w:cs="Times New Roman"/>
          </w:rPr>
        </w:pPr>
        <w:r w:rsidRPr="00A901F5">
          <w:rPr>
            <w:rFonts w:ascii="Times New Roman" w:hAnsi="Times New Roman" w:cs="Times New Roman"/>
          </w:rPr>
          <w:fldChar w:fldCharType="begin"/>
        </w:r>
        <w:r w:rsidRPr="00A901F5">
          <w:rPr>
            <w:rFonts w:ascii="Times New Roman" w:hAnsi="Times New Roman" w:cs="Times New Roman"/>
          </w:rPr>
          <w:instrText>PAGE   \* MERGEFORMAT</w:instrText>
        </w:r>
        <w:r w:rsidRPr="00A901F5">
          <w:rPr>
            <w:rFonts w:ascii="Times New Roman" w:hAnsi="Times New Roman" w:cs="Times New Roman"/>
          </w:rPr>
          <w:fldChar w:fldCharType="separate"/>
        </w:r>
        <w:r>
          <w:rPr>
            <w:rFonts w:ascii="Times New Roman" w:hAnsi="Times New Roman" w:cs="Times New Roman"/>
            <w:noProof/>
          </w:rPr>
          <w:t>2</w:t>
        </w:r>
        <w:r w:rsidRPr="00A901F5">
          <w:rPr>
            <w:rFonts w:ascii="Times New Roman" w:hAnsi="Times New Roman" w:cs="Times New Roman"/>
          </w:rPr>
          <w:fldChar w:fldCharType="end"/>
        </w:r>
      </w:p>
    </w:sdtContent>
  </w:sdt>
  <w:p w14:paraId="7D9E7C1B" w14:textId="77777777" w:rsidR="005A0CC1" w:rsidRDefault="005A0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823051"/>
      <w:docPartObj>
        <w:docPartGallery w:val="Page Numbers (Top of Page)"/>
        <w:docPartUnique/>
      </w:docPartObj>
    </w:sdtPr>
    <w:sdtEndPr>
      <w:rPr>
        <w:rFonts w:ascii="Times New Roman" w:hAnsi="Times New Roman" w:cs="Times New Roman"/>
      </w:rPr>
    </w:sdtEndPr>
    <w:sdtContent>
      <w:p w14:paraId="1C4D3C15" w14:textId="77777777" w:rsidR="005A0CC1" w:rsidRPr="00A901F5" w:rsidRDefault="005A0CC1">
        <w:pPr>
          <w:pStyle w:val="Header"/>
          <w:jc w:val="center"/>
          <w:rPr>
            <w:rFonts w:ascii="Times New Roman" w:hAnsi="Times New Roman" w:cs="Times New Roman"/>
          </w:rPr>
        </w:pPr>
        <w:r w:rsidRPr="00A901F5">
          <w:rPr>
            <w:rFonts w:ascii="Times New Roman" w:hAnsi="Times New Roman" w:cs="Times New Roman"/>
          </w:rPr>
          <w:fldChar w:fldCharType="begin"/>
        </w:r>
        <w:r w:rsidRPr="00A901F5">
          <w:rPr>
            <w:rFonts w:ascii="Times New Roman" w:hAnsi="Times New Roman" w:cs="Times New Roman"/>
          </w:rPr>
          <w:instrText>PAGE   \* MERGEFORMAT</w:instrText>
        </w:r>
        <w:r w:rsidRPr="00A901F5">
          <w:rPr>
            <w:rFonts w:ascii="Times New Roman" w:hAnsi="Times New Roman" w:cs="Times New Roman"/>
          </w:rPr>
          <w:fldChar w:fldCharType="separate"/>
        </w:r>
        <w:r>
          <w:rPr>
            <w:rFonts w:ascii="Times New Roman" w:hAnsi="Times New Roman" w:cs="Times New Roman"/>
            <w:noProof/>
          </w:rPr>
          <w:t>6</w:t>
        </w:r>
        <w:r w:rsidRPr="00A901F5">
          <w:rPr>
            <w:rFonts w:ascii="Times New Roman" w:hAnsi="Times New Roman" w:cs="Times New Roman"/>
          </w:rPr>
          <w:fldChar w:fldCharType="end"/>
        </w:r>
      </w:p>
    </w:sdtContent>
  </w:sdt>
  <w:p w14:paraId="5A06AE52" w14:textId="77777777" w:rsidR="005A0CC1" w:rsidRPr="00FD176C" w:rsidRDefault="005A0CC1" w:rsidP="00A270D5">
    <w:pPr>
      <w:pStyle w:val="Header"/>
      <w:jc w:val="cent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C44C" w14:textId="252B1DA4" w:rsidR="00A1099C" w:rsidRPr="00FD176C" w:rsidRDefault="00A1099C" w:rsidP="00A270D5">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5C8"/>
    <w:multiLevelType w:val="multilevel"/>
    <w:tmpl w:val="988CA292"/>
    <w:lvl w:ilvl="0">
      <w:start w:val="3"/>
      <w:numFmt w:val="decimal"/>
      <w:lvlText w:val="%1."/>
      <w:lvlJc w:val="left"/>
      <w:pPr>
        <w:ind w:left="468" w:hanging="468"/>
      </w:pPr>
      <w:rPr>
        <w:rFonts w:hint="default"/>
      </w:rPr>
    </w:lvl>
    <w:lvl w:ilvl="1">
      <w:start w:val="3"/>
      <w:numFmt w:val="decimal"/>
      <w:lvlText w:val="%1.%2."/>
      <w:lvlJc w:val="left"/>
      <w:pPr>
        <w:ind w:left="468" w:hanging="468"/>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9A1C03"/>
    <w:multiLevelType w:val="multilevel"/>
    <w:tmpl w:val="93A0C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A42B9"/>
    <w:multiLevelType w:val="hybridMultilevel"/>
    <w:tmpl w:val="38403BCC"/>
    <w:lvl w:ilvl="0" w:tplc="A26EFD68">
      <w:start w:val="1"/>
      <w:numFmt w:val="bullet"/>
      <w:lvlText w:val=""/>
      <w:lvlJc w:val="left"/>
      <w:pPr>
        <w:ind w:left="720" w:hanging="360"/>
      </w:pPr>
      <w:rPr>
        <w:rFonts w:ascii="Symbol" w:eastAsia="Times New Roman"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A369B1"/>
    <w:multiLevelType w:val="hybridMultilevel"/>
    <w:tmpl w:val="F718E3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C86862"/>
    <w:multiLevelType w:val="hybridMultilevel"/>
    <w:tmpl w:val="FE8CCAEE"/>
    <w:lvl w:ilvl="0" w:tplc="7676FC0C">
      <w:start w:val="1"/>
      <w:numFmt w:val="decimal"/>
      <w:lvlText w:val="%1."/>
      <w:lvlJc w:val="left"/>
      <w:pPr>
        <w:ind w:left="720" w:hanging="360"/>
      </w:pPr>
      <w:rPr>
        <w:rFonts w:ascii="Times New Roman" w:eastAsia="Times New Roman" w:hAnsi="Times New Roman"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630997"/>
    <w:multiLevelType w:val="multilevel"/>
    <w:tmpl w:val="CC28CFEE"/>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95B0E"/>
    <w:multiLevelType w:val="hybridMultilevel"/>
    <w:tmpl w:val="FF085DB2"/>
    <w:lvl w:ilvl="0" w:tplc="6F2085E4">
      <w:start w:val="1"/>
      <w:numFmt w:val="bullet"/>
      <w:lvlText w:val=""/>
      <w:lvlJc w:val="left"/>
      <w:pPr>
        <w:ind w:left="720" w:hanging="360"/>
      </w:pPr>
      <w:rPr>
        <w:rFonts w:ascii="Symbol" w:eastAsia="Courier New" w:hAnsi="Symbol"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3FE05E7"/>
    <w:multiLevelType w:val="multilevel"/>
    <w:tmpl w:val="636C9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D518F"/>
    <w:multiLevelType w:val="multilevel"/>
    <w:tmpl w:val="8078FD06"/>
    <w:styleLink w:val="Trenutnipopis1"/>
    <w:lvl w:ilvl="0">
      <w:start w:val="1"/>
      <w:numFmt w:val="lowerLetter"/>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5F613C2"/>
    <w:multiLevelType w:val="hybridMultilevel"/>
    <w:tmpl w:val="029ED0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103AC1"/>
    <w:multiLevelType w:val="hybridMultilevel"/>
    <w:tmpl w:val="228CD5B6"/>
    <w:lvl w:ilvl="0" w:tplc="2D36C0EE">
      <w:start w:val="3"/>
      <w:numFmt w:val="bullet"/>
      <w:lvlText w:val=""/>
      <w:lvlJc w:val="left"/>
      <w:pPr>
        <w:ind w:left="720" w:hanging="360"/>
      </w:pPr>
      <w:rPr>
        <w:rFonts w:ascii="Symbol" w:eastAsia="Times New Roman" w:hAnsi="Symbol" w:cs="Calibri"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07E077D"/>
    <w:multiLevelType w:val="hybridMultilevel"/>
    <w:tmpl w:val="E0FCC472"/>
    <w:lvl w:ilvl="0" w:tplc="BA862A5E">
      <w:start w:val="3"/>
      <w:numFmt w:val="bullet"/>
      <w:lvlText w:val=""/>
      <w:lvlJc w:val="left"/>
      <w:pPr>
        <w:ind w:left="720" w:hanging="360"/>
      </w:pPr>
      <w:rPr>
        <w:rFonts w:ascii="Symbol" w:eastAsia="Times New Roman" w:hAnsi="Symbol" w:cs="Calibri"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15D4EB2"/>
    <w:multiLevelType w:val="multilevel"/>
    <w:tmpl w:val="5D4CBCA8"/>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3" w15:restartNumberingAfterBreak="0">
    <w:nsid w:val="483A2613"/>
    <w:multiLevelType w:val="multilevel"/>
    <w:tmpl w:val="AEBE49A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F095B59"/>
    <w:multiLevelType w:val="hybridMultilevel"/>
    <w:tmpl w:val="7638E6D6"/>
    <w:lvl w:ilvl="0" w:tplc="2D5EF81A">
      <w:start w:val="1"/>
      <w:numFmt w:val="bullet"/>
      <w:lvlText w:val=""/>
      <w:lvlJc w:val="left"/>
      <w:pPr>
        <w:ind w:left="1260" w:hanging="360"/>
      </w:pPr>
      <w:rPr>
        <w:rFonts w:ascii="Symbol" w:hAnsi="Symbol"/>
      </w:rPr>
    </w:lvl>
    <w:lvl w:ilvl="1" w:tplc="BD84E6A2">
      <w:start w:val="1"/>
      <w:numFmt w:val="bullet"/>
      <w:lvlText w:val=""/>
      <w:lvlJc w:val="left"/>
      <w:pPr>
        <w:ind w:left="1260" w:hanging="360"/>
      </w:pPr>
      <w:rPr>
        <w:rFonts w:ascii="Symbol" w:hAnsi="Symbol"/>
      </w:rPr>
    </w:lvl>
    <w:lvl w:ilvl="2" w:tplc="696024B0">
      <w:start w:val="1"/>
      <w:numFmt w:val="bullet"/>
      <w:lvlText w:val=""/>
      <w:lvlJc w:val="left"/>
      <w:pPr>
        <w:ind w:left="1260" w:hanging="360"/>
      </w:pPr>
      <w:rPr>
        <w:rFonts w:ascii="Symbol" w:hAnsi="Symbol"/>
      </w:rPr>
    </w:lvl>
    <w:lvl w:ilvl="3" w:tplc="D41CDFCC">
      <w:start w:val="1"/>
      <w:numFmt w:val="bullet"/>
      <w:lvlText w:val=""/>
      <w:lvlJc w:val="left"/>
      <w:pPr>
        <w:ind w:left="1260" w:hanging="360"/>
      </w:pPr>
      <w:rPr>
        <w:rFonts w:ascii="Symbol" w:hAnsi="Symbol"/>
      </w:rPr>
    </w:lvl>
    <w:lvl w:ilvl="4" w:tplc="4A1ECDDE">
      <w:start w:val="1"/>
      <w:numFmt w:val="bullet"/>
      <w:lvlText w:val=""/>
      <w:lvlJc w:val="left"/>
      <w:pPr>
        <w:ind w:left="1260" w:hanging="360"/>
      </w:pPr>
      <w:rPr>
        <w:rFonts w:ascii="Symbol" w:hAnsi="Symbol"/>
      </w:rPr>
    </w:lvl>
    <w:lvl w:ilvl="5" w:tplc="4EB4CAA8">
      <w:start w:val="1"/>
      <w:numFmt w:val="bullet"/>
      <w:lvlText w:val=""/>
      <w:lvlJc w:val="left"/>
      <w:pPr>
        <w:ind w:left="1260" w:hanging="360"/>
      </w:pPr>
      <w:rPr>
        <w:rFonts w:ascii="Symbol" w:hAnsi="Symbol"/>
      </w:rPr>
    </w:lvl>
    <w:lvl w:ilvl="6" w:tplc="434ABA1A">
      <w:start w:val="1"/>
      <w:numFmt w:val="bullet"/>
      <w:lvlText w:val=""/>
      <w:lvlJc w:val="left"/>
      <w:pPr>
        <w:ind w:left="1260" w:hanging="360"/>
      </w:pPr>
      <w:rPr>
        <w:rFonts w:ascii="Symbol" w:hAnsi="Symbol"/>
      </w:rPr>
    </w:lvl>
    <w:lvl w:ilvl="7" w:tplc="034E41C8">
      <w:start w:val="1"/>
      <w:numFmt w:val="bullet"/>
      <w:lvlText w:val=""/>
      <w:lvlJc w:val="left"/>
      <w:pPr>
        <w:ind w:left="1260" w:hanging="360"/>
      </w:pPr>
      <w:rPr>
        <w:rFonts w:ascii="Symbol" w:hAnsi="Symbol"/>
      </w:rPr>
    </w:lvl>
    <w:lvl w:ilvl="8" w:tplc="14A084D8">
      <w:start w:val="1"/>
      <w:numFmt w:val="bullet"/>
      <w:lvlText w:val=""/>
      <w:lvlJc w:val="left"/>
      <w:pPr>
        <w:ind w:left="1260" w:hanging="360"/>
      </w:pPr>
      <w:rPr>
        <w:rFonts w:ascii="Symbol" w:hAnsi="Symbol"/>
      </w:rPr>
    </w:lvl>
  </w:abstractNum>
  <w:abstractNum w:abstractNumId="15" w15:restartNumberingAfterBreak="0">
    <w:nsid w:val="51735CEC"/>
    <w:multiLevelType w:val="multilevel"/>
    <w:tmpl w:val="3F7CF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9513A7"/>
    <w:multiLevelType w:val="hybridMultilevel"/>
    <w:tmpl w:val="5AA0FD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4D41FBE"/>
    <w:multiLevelType w:val="hybridMultilevel"/>
    <w:tmpl w:val="FC7A6D24"/>
    <w:lvl w:ilvl="0" w:tplc="0198A3DE">
      <w:start w:val="3"/>
      <w:numFmt w:val="bullet"/>
      <w:lvlText w:val=""/>
      <w:lvlJc w:val="left"/>
      <w:pPr>
        <w:ind w:left="720" w:hanging="360"/>
      </w:pPr>
      <w:rPr>
        <w:rFonts w:ascii="Symbol" w:eastAsia="Times New Roman"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59A1C71"/>
    <w:multiLevelType w:val="hybridMultilevel"/>
    <w:tmpl w:val="E7F67778"/>
    <w:lvl w:ilvl="0" w:tplc="F45885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7766673"/>
    <w:multiLevelType w:val="multilevel"/>
    <w:tmpl w:val="3E1E7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FB7F31"/>
    <w:multiLevelType w:val="multilevel"/>
    <w:tmpl w:val="BBEE3C32"/>
    <w:lvl w:ilvl="0">
      <w:start w:val="3"/>
      <w:numFmt w:val="decimal"/>
      <w:lvlText w:val="%1."/>
      <w:lvlJc w:val="left"/>
      <w:pPr>
        <w:ind w:left="450" w:hanging="450"/>
      </w:pPr>
      <w:rPr>
        <w:rFonts w:hint="default"/>
      </w:rPr>
    </w:lvl>
    <w:lvl w:ilvl="1">
      <w:start w:val="3"/>
      <w:numFmt w:val="decimal"/>
      <w:lvlText w:val="%1.%2."/>
      <w:lvlJc w:val="left"/>
      <w:pPr>
        <w:ind w:left="750" w:hanging="45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21" w15:restartNumberingAfterBreak="0">
    <w:nsid w:val="6C332603"/>
    <w:multiLevelType w:val="hybridMultilevel"/>
    <w:tmpl w:val="15A243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8E4B1F"/>
    <w:multiLevelType w:val="multilevel"/>
    <w:tmpl w:val="37E820B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093583"/>
    <w:multiLevelType w:val="hybridMultilevel"/>
    <w:tmpl w:val="BACEE194"/>
    <w:lvl w:ilvl="0" w:tplc="93C8D144">
      <w:start w:val="1"/>
      <w:numFmt w:val="bullet"/>
      <w:lvlText w:val=""/>
      <w:lvlJc w:val="left"/>
      <w:pPr>
        <w:ind w:left="720" w:hanging="360"/>
      </w:pPr>
      <w:rPr>
        <w:rFonts w:ascii="Symbol" w:eastAsia="Times New Roman"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2AD1621"/>
    <w:multiLevelType w:val="hybridMultilevel"/>
    <w:tmpl w:val="322409BC"/>
    <w:lvl w:ilvl="0" w:tplc="7DC678C8">
      <w:start w:val="3"/>
      <w:numFmt w:val="bullet"/>
      <w:lvlText w:val=""/>
      <w:lvlJc w:val="left"/>
      <w:pPr>
        <w:ind w:left="720" w:hanging="360"/>
      </w:pPr>
      <w:rPr>
        <w:rFonts w:ascii="Symbol" w:eastAsia="Times New Roman" w:hAnsi="Symbol" w:cs="Calibri"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62759640">
    <w:abstractNumId w:val="5"/>
  </w:num>
  <w:num w:numId="2" w16cid:durableId="559445419">
    <w:abstractNumId w:val="15"/>
  </w:num>
  <w:num w:numId="3" w16cid:durableId="1182277254">
    <w:abstractNumId w:val="19"/>
  </w:num>
  <w:num w:numId="4" w16cid:durableId="1131629712">
    <w:abstractNumId w:val="7"/>
  </w:num>
  <w:num w:numId="5" w16cid:durableId="236676902">
    <w:abstractNumId w:val="1"/>
  </w:num>
  <w:num w:numId="6" w16cid:durableId="1570118527">
    <w:abstractNumId w:val="22"/>
  </w:num>
  <w:num w:numId="7" w16cid:durableId="490756936">
    <w:abstractNumId w:val="12"/>
  </w:num>
  <w:num w:numId="8" w16cid:durableId="290987126">
    <w:abstractNumId w:val="8"/>
  </w:num>
  <w:num w:numId="9" w16cid:durableId="724990007">
    <w:abstractNumId w:val="18"/>
  </w:num>
  <w:num w:numId="10" w16cid:durableId="1824347162">
    <w:abstractNumId w:val="4"/>
  </w:num>
  <w:num w:numId="11" w16cid:durableId="1956669843">
    <w:abstractNumId w:val="21"/>
  </w:num>
  <w:num w:numId="12" w16cid:durableId="1766264963">
    <w:abstractNumId w:val="3"/>
  </w:num>
  <w:num w:numId="13" w16cid:durableId="687871469">
    <w:abstractNumId w:val="6"/>
  </w:num>
  <w:num w:numId="14" w16cid:durableId="1547643229">
    <w:abstractNumId w:val="2"/>
  </w:num>
  <w:num w:numId="15" w16cid:durableId="1364473871">
    <w:abstractNumId w:val="23"/>
  </w:num>
  <w:num w:numId="16" w16cid:durableId="1514226801">
    <w:abstractNumId w:val="17"/>
  </w:num>
  <w:num w:numId="17" w16cid:durableId="1985766981">
    <w:abstractNumId w:val="24"/>
  </w:num>
  <w:num w:numId="18" w16cid:durableId="699746647">
    <w:abstractNumId w:val="11"/>
  </w:num>
  <w:num w:numId="19" w16cid:durableId="1161043286">
    <w:abstractNumId w:val="10"/>
  </w:num>
  <w:num w:numId="20" w16cid:durableId="1597203407">
    <w:abstractNumId w:val="16"/>
  </w:num>
  <w:num w:numId="21" w16cid:durableId="570651531">
    <w:abstractNumId w:val="5"/>
    <w:lvlOverride w:ilvl="0">
      <w:startOverride w:val="1"/>
    </w:lvlOverride>
    <w:lvlOverride w:ilvl="1"/>
    <w:lvlOverride w:ilvl="2"/>
    <w:lvlOverride w:ilvl="3"/>
    <w:lvlOverride w:ilvl="4"/>
    <w:lvlOverride w:ilvl="5"/>
    <w:lvlOverride w:ilvl="6"/>
    <w:lvlOverride w:ilvl="7"/>
    <w:lvlOverride w:ilvl="8"/>
  </w:num>
  <w:num w:numId="22" w16cid:durableId="1272472584">
    <w:abstractNumId w:val="13"/>
  </w:num>
  <w:num w:numId="23" w16cid:durableId="678892504">
    <w:abstractNumId w:val="0"/>
  </w:num>
  <w:num w:numId="24" w16cid:durableId="1660844331">
    <w:abstractNumId w:val="14"/>
  </w:num>
  <w:num w:numId="25" w16cid:durableId="1378705057">
    <w:abstractNumId w:val="9"/>
  </w:num>
  <w:num w:numId="26" w16cid:durableId="16035639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69B"/>
    <w:rsid w:val="000019F6"/>
    <w:rsid w:val="000020D3"/>
    <w:rsid w:val="00002496"/>
    <w:rsid w:val="000028FB"/>
    <w:rsid w:val="00003600"/>
    <w:rsid w:val="00003D50"/>
    <w:rsid w:val="00004074"/>
    <w:rsid w:val="000044FA"/>
    <w:rsid w:val="00004A4A"/>
    <w:rsid w:val="00004B83"/>
    <w:rsid w:val="00005991"/>
    <w:rsid w:val="00005F7C"/>
    <w:rsid w:val="00006662"/>
    <w:rsid w:val="00007485"/>
    <w:rsid w:val="000074AC"/>
    <w:rsid w:val="0000797D"/>
    <w:rsid w:val="00007B37"/>
    <w:rsid w:val="0001008C"/>
    <w:rsid w:val="00011D79"/>
    <w:rsid w:val="00013B19"/>
    <w:rsid w:val="00014052"/>
    <w:rsid w:val="00014735"/>
    <w:rsid w:val="0001571C"/>
    <w:rsid w:val="00015775"/>
    <w:rsid w:val="000158CE"/>
    <w:rsid w:val="00016C64"/>
    <w:rsid w:val="00017118"/>
    <w:rsid w:val="0002033E"/>
    <w:rsid w:val="00020F47"/>
    <w:rsid w:val="000213C7"/>
    <w:rsid w:val="0002216A"/>
    <w:rsid w:val="000223F7"/>
    <w:rsid w:val="000231ED"/>
    <w:rsid w:val="00023639"/>
    <w:rsid w:val="00023C15"/>
    <w:rsid w:val="00023D2F"/>
    <w:rsid w:val="00024034"/>
    <w:rsid w:val="000240A0"/>
    <w:rsid w:val="000248D2"/>
    <w:rsid w:val="00025F46"/>
    <w:rsid w:val="00026523"/>
    <w:rsid w:val="0002682F"/>
    <w:rsid w:val="000275B1"/>
    <w:rsid w:val="00027F2D"/>
    <w:rsid w:val="000301A8"/>
    <w:rsid w:val="0003050B"/>
    <w:rsid w:val="000309F6"/>
    <w:rsid w:val="00030FD5"/>
    <w:rsid w:val="000311A7"/>
    <w:rsid w:val="000312A0"/>
    <w:rsid w:val="000313A3"/>
    <w:rsid w:val="000316EF"/>
    <w:rsid w:val="00032B60"/>
    <w:rsid w:val="000341EC"/>
    <w:rsid w:val="000363D6"/>
    <w:rsid w:val="000376F2"/>
    <w:rsid w:val="000403C3"/>
    <w:rsid w:val="00041316"/>
    <w:rsid w:val="000428AE"/>
    <w:rsid w:val="00043D99"/>
    <w:rsid w:val="0004412D"/>
    <w:rsid w:val="00044FB1"/>
    <w:rsid w:val="0004551D"/>
    <w:rsid w:val="00046569"/>
    <w:rsid w:val="00046D19"/>
    <w:rsid w:val="00046DDA"/>
    <w:rsid w:val="00050BA9"/>
    <w:rsid w:val="00051804"/>
    <w:rsid w:val="00051F53"/>
    <w:rsid w:val="00053494"/>
    <w:rsid w:val="00053796"/>
    <w:rsid w:val="00053C9D"/>
    <w:rsid w:val="00055A6A"/>
    <w:rsid w:val="00056BC4"/>
    <w:rsid w:val="00056E7B"/>
    <w:rsid w:val="00057D63"/>
    <w:rsid w:val="00061A83"/>
    <w:rsid w:val="000620AD"/>
    <w:rsid w:val="00062427"/>
    <w:rsid w:val="00063008"/>
    <w:rsid w:val="000633A4"/>
    <w:rsid w:val="000635EC"/>
    <w:rsid w:val="0006450C"/>
    <w:rsid w:val="00065A24"/>
    <w:rsid w:val="00065F71"/>
    <w:rsid w:val="00066212"/>
    <w:rsid w:val="00066330"/>
    <w:rsid w:val="000664B3"/>
    <w:rsid w:val="000665B0"/>
    <w:rsid w:val="0006669F"/>
    <w:rsid w:val="00066F28"/>
    <w:rsid w:val="00067EE8"/>
    <w:rsid w:val="00070FB8"/>
    <w:rsid w:val="0007229C"/>
    <w:rsid w:val="00072430"/>
    <w:rsid w:val="00073325"/>
    <w:rsid w:val="00074811"/>
    <w:rsid w:val="00076FC8"/>
    <w:rsid w:val="000826A3"/>
    <w:rsid w:val="000852A8"/>
    <w:rsid w:val="000861E6"/>
    <w:rsid w:val="00086284"/>
    <w:rsid w:val="00086672"/>
    <w:rsid w:val="000866F5"/>
    <w:rsid w:val="000871F8"/>
    <w:rsid w:val="00087665"/>
    <w:rsid w:val="000904E4"/>
    <w:rsid w:val="0009190D"/>
    <w:rsid w:val="00092758"/>
    <w:rsid w:val="00092B3A"/>
    <w:rsid w:val="00095196"/>
    <w:rsid w:val="00097F49"/>
    <w:rsid w:val="000A0357"/>
    <w:rsid w:val="000A0A3E"/>
    <w:rsid w:val="000A1939"/>
    <w:rsid w:val="000A26AA"/>
    <w:rsid w:val="000A3D09"/>
    <w:rsid w:val="000A4A10"/>
    <w:rsid w:val="000A4C25"/>
    <w:rsid w:val="000A526A"/>
    <w:rsid w:val="000A531B"/>
    <w:rsid w:val="000A5D0E"/>
    <w:rsid w:val="000A6316"/>
    <w:rsid w:val="000A6BAE"/>
    <w:rsid w:val="000A7D5D"/>
    <w:rsid w:val="000A7E15"/>
    <w:rsid w:val="000B12CF"/>
    <w:rsid w:val="000B1965"/>
    <w:rsid w:val="000B2589"/>
    <w:rsid w:val="000B39D5"/>
    <w:rsid w:val="000B40A7"/>
    <w:rsid w:val="000B4561"/>
    <w:rsid w:val="000B4C13"/>
    <w:rsid w:val="000B6241"/>
    <w:rsid w:val="000B631C"/>
    <w:rsid w:val="000B644B"/>
    <w:rsid w:val="000B6999"/>
    <w:rsid w:val="000B699F"/>
    <w:rsid w:val="000B6EDD"/>
    <w:rsid w:val="000B6FEB"/>
    <w:rsid w:val="000B7729"/>
    <w:rsid w:val="000C036A"/>
    <w:rsid w:val="000C0653"/>
    <w:rsid w:val="000C18F2"/>
    <w:rsid w:val="000C21C2"/>
    <w:rsid w:val="000C2980"/>
    <w:rsid w:val="000C41BC"/>
    <w:rsid w:val="000C4316"/>
    <w:rsid w:val="000C43FA"/>
    <w:rsid w:val="000C5CA9"/>
    <w:rsid w:val="000C65D3"/>
    <w:rsid w:val="000C7F9E"/>
    <w:rsid w:val="000D0548"/>
    <w:rsid w:val="000D0FBB"/>
    <w:rsid w:val="000D11BE"/>
    <w:rsid w:val="000D18B9"/>
    <w:rsid w:val="000D1C22"/>
    <w:rsid w:val="000D1CE0"/>
    <w:rsid w:val="000D3068"/>
    <w:rsid w:val="000D3296"/>
    <w:rsid w:val="000D3DD9"/>
    <w:rsid w:val="000D4953"/>
    <w:rsid w:val="000D4E29"/>
    <w:rsid w:val="000D529D"/>
    <w:rsid w:val="000D56F5"/>
    <w:rsid w:val="000D7D14"/>
    <w:rsid w:val="000E00A7"/>
    <w:rsid w:val="000E03E9"/>
    <w:rsid w:val="000E19FD"/>
    <w:rsid w:val="000E2284"/>
    <w:rsid w:val="000E2564"/>
    <w:rsid w:val="000E2C9C"/>
    <w:rsid w:val="000E483A"/>
    <w:rsid w:val="000E49A7"/>
    <w:rsid w:val="000E5D25"/>
    <w:rsid w:val="000F0926"/>
    <w:rsid w:val="000F2335"/>
    <w:rsid w:val="000F25B9"/>
    <w:rsid w:val="000F4F6F"/>
    <w:rsid w:val="000F6CA1"/>
    <w:rsid w:val="000F70C5"/>
    <w:rsid w:val="000F7C27"/>
    <w:rsid w:val="00100098"/>
    <w:rsid w:val="001002D5"/>
    <w:rsid w:val="001005D8"/>
    <w:rsid w:val="001011BE"/>
    <w:rsid w:val="001019D2"/>
    <w:rsid w:val="00101DE7"/>
    <w:rsid w:val="00101E35"/>
    <w:rsid w:val="0010201A"/>
    <w:rsid w:val="0010219D"/>
    <w:rsid w:val="00102A56"/>
    <w:rsid w:val="00102F20"/>
    <w:rsid w:val="001035FE"/>
    <w:rsid w:val="00104995"/>
    <w:rsid w:val="001056E6"/>
    <w:rsid w:val="001056F3"/>
    <w:rsid w:val="00105A66"/>
    <w:rsid w:val="00105A8A"/>
    <w:rsid w:val="00105B9B"/>
    <w:rsid w:val="0010767B"/>
    <w:rsid w:val="001110DF"/>
    <w:rsid w:val="00111511"/>
    <w:rsid w:val="00111FE6"/>
    <w:rsid w:val="0011224E"/>
    <w:rsid w:val="0011283F"/>
    <w:rsid w:val="00112925"/>
    <w:rsid w:val="00112B56"/>
    <w:rsid w:val="00112E38"/>
    <w:rsid w:val="00112E9D"/>
    <w:rsid w:val="00113328"/>
    <w:rsid w:val="001133BE"/>
    <w:rsid w:val="00113FC4"/>
    <w:rsid w:val="00115EAE"/>
    <w:rsid w:val="00116A1D"/>
    <w:rsid w:val="00116D92"/>
    <w:rsid w:val="0011716A"/>
    <w:rsid w:val="001175CC"/>
    <w:rsid w:val="00117EE6"/>
    <w:rsid w:val="00117F97"/>
    <w:rsid w:val="00120453"/>
    <w:rsid w:val="0012103D"/>
    <w:rsid w:val="00121448"/>
    <w:rsid w:val="00121493"/>
    <w:rsid w:val="00121729"/>
    <w:rsid w:val="001217D1"/>
    <w:rsid w:val="00121B5F"/>
    <w:rsid w:val="001222B5"/>
    <w:rsid w:val="001223C1"/>
    <w:rsid w:val="001234FF"/>
    <w:rsid w:val="00123686"/>
    <w:rsid w:val="00123BD9"/>
    <w:rsid w:val="001242A5"/>
    <w:rsid w:val="00125EAC"/>
    <w:rsid w:val="001262C1"/>
    <w:rsid w:val="0012669D"/>
    <w:rsid w:val="001268AD"/>
    <w:rsid w:val="00126A4B"/>
    <w:rsid w:val="00126B0F"/>
    <w:rsid w:val="001318DA"/>
    <w:rsid w:val="00133FC6"/>
    <w:rsid w:val="00134825"/>
    <w:rsid w:val="00134CB3"/>
    <w:rsid w:val="00134ED2"/>
    <w:rsid w:val="001351C7"/>
    <w:rsid w:val="001359E1"/>
    <w:rsid w:val="00135EAB"/>
    <w:rsid w:val="001375C6"/>
    <w:rsid w:val="00137D8A"/>
    <w:rsid w:val="00137ECC"/>
    <w:rsid w:val="001407B6"/>
    <w:rsid w:val="00141199"/>
    <w:rsid w:val="00141717"/>
    <w:rsid w:val="00141FE5"/>
    <w:rsid w:val="00142A2E"/>
    <w:rsid w:val="00142E49"/>
    <w:rsid w:val="00143276"/>
    <w:rsid w:val="00143484"/>
    <w:rsid w:val="001460F4"/>
    <w:rsid w:val="001479B9"/>
    <w:rsid w:val="001503D4"/>
    <w:rsid w:val="00150DC4"/>
    <w:rsid w:val="00150E53"/>
    <w:rsid w:val="00151B72"/>
    <w:rsid w:val="00151C32"/>
    <w:rsid w:val="00152014"/>
    <w:rsid w:val="001543B0"/>
    <w:rsid w:val="00154591"/>
    <w:rsid w:val="001554BA"/>
    <w:rsid w:val="00155A67"/>
    <w:rsid w:val="00155AAA"/>
    <w:rsid w:val="001564F8"/>
    <w:rsid w:val="001565C9"/>
    <w:rsid w:val="00157682"/>
    <w:rsid w:val="00160EFB"/>
    <w:rsid w:val="001628FA"/>
    <w:rsid w:val="00162E89"/>
    <w:rsid w:val="00163614"/>
    <w:rsid w:val="0016427A"/>
    <w:rsid w:val="001642A2"/>
    <w:rsid w:val="0016555A"/>
    <w:rsid w:val="001670DD"/>
    <w:rsid w:val="00167689"/>
    <w:rsid w:val="0016792A"/>
    <w:rsid w:val="00167941"/>
    <w:rsid w:val="00167E4B"/>
    <w:rsid w:val="00167FA3"/>
    <w:rsid w:val="00170D9C"/>
    <w:rsid w:val="001724A9"/>
    <w:rsid w:val="0017375C"/>
    <w:rsid w:val="00173F87"/>
    <w:rsid w:val="00174301"/>
    <w:rsid w:val="00176C4F"/>
    <w:rsid w:val="00176D7F"/>
    <w:rsid w:val="001773E2"/>
    <w:rsid w:val="00177B48"/>
    <w:rsid w:val="00182299"/>
    <w:rsid w:val="00182F8B"/>
    <w:rsid w:val="001833F1"/>
    <w:rsid w:val="00183486"/>
    <w:rsid w:val="00183597"/>
    <w:rsid w:val="00183780"/>
    <w:rsid w:val="00183F6E"/>
    <w:rsid w:val="00183FCD"/>
    <w:rsid w:val="00185D02"/>
    <w:rsid w:val="00186189"/>
    <w:rsid w:val="00187863"/>
    <w:rsid w:val="001878ED"/>
    <w:rsid w:val="00187F8D"/>
    <w:rsid w:val="00193B44"/>
    <w:rsid w:val="00194FD1"/>
    <w:rsid w:val="00196428"/>
    <w:rsid w:val="00197AFF"/>
    <w:rsid w:val="001A0D6F"/>
    <w:rsid w:val="001A17D8"/>
    <w:rsid w:val="001A18EA"/>
    <w:rsid w:val="001A1AB3"/>
    <w:rsid w:val="001A2841"/>
    <w:rsid w:val="001A3C71"/>
    <w:rsid w:val="001A406B"/>
    <w:rsid w:val="001A4715"/>
    <w:rsid w:val="001A4B39"/>
    <w:rsid w:val="001A5C93"/>
    <w:rsid w:val="001A6782"/>
    <w:rsid w:val="001A6DC1"/>
    <w:rsid w:val="001A7783"/>
    <w:rsid w:val="001B123D"/>
    <w:rsid w:val="001B13DA"/>
    <w:rsid w:val="001B153C"/>
    <w:rsid w:val="001B1673"/>
    <w:rsid w:val="001B1906"/>
    <w:rsid w:val="001B1DEC"/>
    <w:rsid w:val="001B1FAF"/>
    <w:rsid w:val="001B2EB6"/>
    <w:rsid w:val="001B37DA"/>
    <w:rsid w:val="001B392F"/>
    <w:rsid w:val="001B5FC9"/>
    <w:rsid w:val="001B7568"/>
    <w:rsid w:val="001B79FB"/>
    <w:rsid w:val="001B7A73"/>
    <w:rsid w:val="001B7AEB"/>
    <w:rsid w:val="001B7AEF"/>
    <w:rsid w:val="001C0549"/>
    <w:rsid w:val="001C06BF"/>
    <w:rsid w:val="001C0BA5"/>
    <w:rsid w:val="001C1078"/>
    <w:rsid w:val="001C177D"/>
    <w:rsid w:val="001C320B"/>
    <w:rsid w:val="001C3412"/>
    <w:rsid w:val="001C3858"/>
    <w:rsid w:val="001C3BB8"/>
    <w:rsid w:val="001C5439"/>
    <w:rsid w:val="001C5D20"/>
    <w:rsid w:val="001D0322"/>
    <w:rsid w:val="001D1C1E"/>
    <w:rsid w:val="001D1C6E"/>
    <w:rsid w:val="001D2234"/>
    <w:rsid w:val="001D2FE3"/>
    <w:rsid w:val="001D465A"/>
    <w:rsid w:val="001D49DB"/>
    <w:rsid w:val="001D4F83"/>
    <w:rsid w:val="001D5030"/>
    <w:rsid w:val="001D54E9"/>
    <w:rsid w:val="001D5D98"/>
    <w:rsid w:val="001D66BF"/>
    <w:rsid w:val="001D77D2"/>
    <w:rsid w:val="001D7E70"/>
    <w:rsid w:val="001E07C3"/>
    <w:rsid w:val="001E0CD5"/>
    <w:rsid w:val="001E21F6"/>
    <w:rsid w:val="001E2C81"/>
    <w:rsid w:val="001E31E3"/>
    <w:rsid w:val="001E3358"/>
    <w:rsid w:val="001E3EDD"/>
    <w:rsid w:val="001E3EF5"/>
    <w:rsid w:val="001E4BFA"/>
    <w:rsid w:val="001E5128"/>
    <w:rsid w:val="001E5418"/>
    <w:rsid w:val="001E6833"/>
    <w:rsid w:val="001E714B"/>
    <w:rsid w:val="001F005E"/>
    <w:rsid w:val="001F0B11"/>
    <w:rsid w:val="001F169C"/>
    <w:rsid w:val="001F188C"/>
    <w:rsid w:val="001F1BA3"/>
    <w:rsid w:val="001F3323"/>
    <w:rsid w:val="001F4F8B"/>
    <w:rsid w:val="001F564D"/>
    <w:rsid w:val="001F5AF7"/>
    <w:rsid w:val="001F5FD7"/>
    <w:rsid w:val="001F691C"/>
    <w:rsid w:val="001F7C12"/>
    <w:rsid w:val="001F7E45"/>
    <w:rsid w:val="002002ED"/>
    <w:rsid w:val="00200540"/>
    <w:rsid w:val="002005CF"/>
    <w:rsid w:val="00200E89"/>
    <w:rsid w:val="00201533"/>
    <w:rsid w:val="00201B89"/>
    <w:rsid w:val="00203A8E"/>
    <w:rsid w:val="00203BAA"/>
    <w:rsid w:val="00204D15"/>
    <w:rsid w:val="00204EFF"/>
    <w:rsid w:val="00205462"/>
    <w:rsid w:val="002063A9"/>
    <w:rsid w:val="002067F2"/>
    <w:rsid w:val="00210AEA"/>
    <w:rsid w:val="002112C3"/>
    <w:rsid w:val="002126C0"/>
    <w:rsid w:val="002134BF"/>
    <w:rsid w:val="002140DD"/>
    <w:rsid w:val="002149F9"/>
    <w:rsid w:val="002152B7"/>
    <w:rsid w:val="002163A9"/>
    <w:rsid w:val="00217F10"/>
    <w:rsid w:val="0022131C"/>
    <w:rsid w:val="002216FF"/>
    <w:rsid w:val="00221E19"/>
    <w:rsid w:val="00222160"/>
    <w:rsid w:val="00224AA6"/>
    <w:rsid w:val="002266A2"/>
    <w:rsid w:val="00227528"/>
    <w:rsid w:val="00227A38"/>
    <w:rsid w:val="0023059B"/>
    <w:rsid w:val="002306CF"/>
    <w:rsid w:val="00231159"/>
    <w:rsid w:val="002311B1"/>
    <w:rsid w:val="002313A7"/>
    <w:rsid w:val="00231E58"/>
    <w:rsid w:val="00233BD1"/>
    <w:rsid w:val="00235C24"/>
    <w:rsid w:val="00236A9A"/>
    <w:rsid w:val="00236ABB"/>
    <w:rsid w:val="00237898"/>
    <w:rsid w:val="002415B3"/>
    <w:rsid w:val="0024315C"/>
    <w:rsid w:val="00243D61"/>
    <w:rsid w:val="002450B4"/>
    <w:rsid w:val="00245146"/>
    <w:rsid w:val="00246005"/>
    <w:rsid w:val="002469F5"/>
    <w:rsid w:val="00247766"/>
    <w:rsid w:val="002478D4"/>
    <w:rsid w:val="00247E02"/>
    <w:rsid w:val="00247E51"/>
    <w:rsid w:val="00247FEB"/>
    <w:rsid w:val="002511FF"/>
    <w:rsid w:val="002530EC"/>
    <w:rsid w:val="00253377"/>
    <w:rsid w:val="00253CBE"/>
    <w:rsid w:val="00253D84"/>
    <w:rsid w:val="002544EF"/>
    <w:rsid w:val="00254D2F"/>
    <w:rsid w:val="002554E4"/>
    <w:rsid w:val="002563EB"/>
    <w:rsid w:val="00256660"/>
    <w:rsid w:val="00257E1B"/>
    <w:rsid w:val="00260285"/>
    <w:rsid w:val="00261B51"/>
    <w:rsid w:val="0026284D"/>
    <w:rsid w:val="002629CA"/>
    <w:rsid w:val="002630BA"/>
    <w:rsid w:val="00263845"/>
    <w:rsid w:val="00263A8A"/>
    <w:rsid w:val="00263FCB"/>
    <w:rsid w:val="00264047"/>
    <w:rsid w:val="002640E2"/>
    <w:rsid w:val="002643AF"/>
    <w:rsid w:val="00264DD0"/>
    <w:rsid w:val="00264F69"/>
    <w:rsid w:val="00265384"/>
    <w:rsid w:val="0026540D"/>
    <w:rsid w:val="0026583B"/>
    <w:rsid w:val="002659E1"/>
    <w:rsid w:val="00266B7D"/>
    <w:rsid w:val="002677D0"/>
    <w:rsid w:val="00267B32"/>
    <w:rsid w:val="00267BCB"/>
    <w:rsid w:val="00271108"/>
    <w:rsid w:val="002729DF"/>
    <w:rsid w:val="00273070"/>
    <w:rsid w:val="002735AA"/>
    <w:rsid w:val="002736F6"/>
    <w:rsid w:val="0027387C"/>
    <w:rsid w:val="002748DA"/>
    <w:rsid w:val="002750C4"/>
    <w:rsid w:val="0027544E"/>
    <w:rsid w:val="00275EDE"/>
    <w:rsid w:val="00276109"/>
    <w:rsid w:val="002766C1"/>
    <w:rsid w:val="00277B45"/>
    <w:rsid w:val="00277E9E"/>
    <w:rsid w:val="00280235"/>
    <w:rsid w:val="002817B1"/>
    <w:rsid w:val="002819FF"/>
    <w:rsid w:val="00281BD7"/>
    <w:rsid w:val="002841E5"/>
    <w:rsid w:val="002851B4"/>
    <w:rsid w:val="00285C19"/>
    <w:rsid w:val="00286670"/>
    <w:rsid w:val="002868F6"/>
    <w:rsid w:val="002869EF"/>
    <w:rsid w:val="00287731"/>
    <w:rsid w:val="0029065A"/>
    <w:rsid w:val="00290915"/>
    <w:rsid w:val="002918F7"/>
    <w:rsid w:val="00291E33"/>
    <w:rsid w:val="002934A1"/>
    <w:rsid w:val="00293C94"/>
    <w:rsid w:val="00294274"/>
    <w:rsid w:val="002942D9"/>
    <w:rsid w:val="0029485D"/>
    <w:rsid w:val="00295358"/>
    <w:rsid w:val="00295E3D"/>
    <w:rsid w:val="00295EB4"/>
    <w:rsid w:val="002969EF"/>
    <w:rsid w:val="00296A04"/>
    <w:rsid w:val="00297F8D"/>
    <w:rsid w:val="002A243A"/>
    <w:rsid w:val="002A2644"/>
    <w:rsid w:val="002A2C65"/>
    <w:rsid w:val="002A59F3"/>
    <w:rsid w:val="002A5EAA"/>
    <w:rsid w:val="002A6AD4"/>
    <w:rsid w:val="002A72B8"/>
    <w:rsid w:val="002A769B"/>
    <w:rsid w:val="002B077C"/>
    <w:rsid w:val="002B2654"/>
    <w:rsid w:val="002B389E"/>
    <w:rsid w:val="002B5FC3"/>
    <w:rsid w:val="002B6006"/>
    <w:rsid w:val="002B6F7A"/>
    <w:rsid w:val="002B7409"/>
    <w:rsid w:val="002B798D"/>
    <w:rsid w:val="002C006B"/>
    <w:rsid w:val="002C3126"/>
    <w:rsid w:val="002C31C7"/>
    <w:rsid w:val="002C6FC1"/>
    <w:rsid w:val="002C7375"/>
    <w:rsid w:val="002C78C6"/>
    <w:rsid w:val="002D0100"/>
    <w:rsid w:val="002D1E66"/>
    <w:rsid w:val="002D1F73"/>
    <w:rsid w:val="002D3740"/>
    <w:rsid w:val="002D3A51"/>
    <w:rsid w:val="002D3FC7"/>
    <w:rsid w:val="002D4602"/>
    <w:rsid w:val="002D65A6"/>
    <w:rsid w:val="002D6E0F"/>
    <w:rsid w:val="002D6EE9"/>
    <w:rsid w:val="002D70AC"/>
    <w:rsid w:val="002D78F2"/>
    <w:rsid w:val="002E05DF"/>
    <w:rsid w:val="002E0DB6"/>
    <w:rsid w:val="002E1191"/>
    <w:rsid w:val="002E1503"/>
    <w:rsid w:val="002E192F"/>
    <w:rsid w:val="002E2DA6"/>
    <w:rsid w:val="002E4FAE"/>
    <w:rsid w:val="002E50D0"/>
    <w:rsid w:val="002E61CF"/>
    <w:rsid w:val="002F0B49"/>
    <w:rsid w:val="002F2261"/>
    <w:rsid w:val="002F268E"/>
    <w:rsid w:val="002F3602"/>
    <w:rsid w:val="002F365E"/>
    <w:rsid w:val="002F3768"/>
    <w:rsid w:val="002F427E"/>
    <w:rsid w:val="002F509B"/>
    <w:rsid w:val="002F6E2B"/>
    <w:rsid w:val="002F7925"/>
    <w:rsid w:val="002F7D74"/>
    <w:rsid w:val="002F7D9E"/>
    <w:rsid w:val="0030039A"/>
    <w:rsid w:val="0030060A"/>
    <w:rsid w:val="003012A2"/>
    <w:rsid w:val="0030138D"/>
    <w:rsid w:val="00303539"/>
    <w:rsid w:val="003036E7"/>
    <w:rsid w:val="00303860"/>
    <w:rsid w:val="003049B8"/>
    <w:rsid w:val="003053D2"/>
    <w:rsid w:val="0030686D"/>
    <w:rsid w:val="003076E1"/>
    <w:rsid w:val="003106F0"/>
    <w:rsid w:val="0031253F"/>
    <w:rsid w:val="00313285"/>
    <w:rsid w:val="00314271"/>
    <w:rsid w:val="003149F5"/>
    <w:rsid w:val="003156FD"/>
    <w:rsid w:val="00315A15"/>
    <w:rsid w:val="003168C2"/>
    <w:rsid w:val="00320ABB"/>
    <w:rsid w:val="003211A1"/>
    <w:rsid w:val="00321680"/>
    <w:rsid w:val="00322E75"/>
    <w:rsid w:val="00322FFB"/>
    <w:rsid w:val="00323C2B"/>
    <w:rsid w:val="00325752"/>
    <w:rsid w:val="00325E4B"/>
    <w:rsid w:val="00326142"/>
    <w:rsid w:val="003266E9"/>
    <w:rsid w:val="00326B6C"/>
    <w:rsid w:val="003276F4"/>
    <w:rsid w:val="00330311"/>
    <w:rsid w:val="00330743"/>
    <w:rsid w:val="00330F52"/>
    <w:rsid w:val="00331207"/>
    <w:rsid w:val="0033169D"/>
    <w:rsid w:val="00332C19"/>
    <w:rsid w:val="003348D7"/>
    <w:rsid w:val="0033633C"/>
    <w:rsid w:val="003364A6"/>
    <w:rsid w:val="00336647"/>
    <w:rsid w:val="00336DA5"/>
    <w:rsid w:val="00337161"/>
    <w:rsid w:val="003372CF"/>
    <w:rsid w:val="00340176"/>
    <w:rsid w:val="00340614"/>
    <w:rsid w:val="00340ED4"/>
    <w:rsid w:val="00341264"/>
    <w:rsid w:val="00341CC5"/>
    <w:rsid w:val="003421A4"/>
    <w:rsid w:val="00342757"/>
    <w:rsid w:val="00343A9C"/>
    <w:rsid w:val="00343EC4"/>
    <w:rsid w:val="003446DC"/>
    <w:rsid w:val="003447A0"/>
    <w:rsid w:val="00344A4B"/>
    <w:rsid w:val="00345020"/>
    <w:rsid w:val="00346BAD"/>
    <w:rsid w:val="00346D0D"/>
    <w:rsid w:val="00346F6B"/>
    <w:rsid w:val="00347CE0"/>
    <w:rsid w:val="003511FD"/>
    <w:rsid w:val="0035129B"/>
    <w:rsid w:val="00351FA4"/>
    <w:rsid w:val="00351FC3"/>
    <w:rsid w:val="0035200B"/>
    <w:rsid w:val="0035235D"/>
    <w:rsid w:val="003535D2"/>
    <w:rsid w:val="00353620"/>
    <w:rsid w:val="00353A60"/>
    <w:rsid w:val="00353E0F"/>
    <w:rsid w:val="00355CBF"/>
    <w:rsid w:val="003573B6"/>
    <w:rsid w:val="003574B6"/>
    <w:rsid w:val="00357941"/>
    <w:rsid w:val="00360CB9"/>
    <w:rsid w:val="00361727"/>
    <w:rsid w:val="00362781"/>
    <w:rsid w:val="00362A16"/>
    <w:rsid w:val="003656C3"/>
    <w:rsid w:val="00365A9A"/>
    <w:rsid w:val="00366143"/>
    <w:rsid w:val="003668F4"/>
    <w:rsid w:val="00366AF5"/>
    <w:rsid w:val="00366EE9"/>
    <w:rsid w:val="00367821"/>
    <w:rsid w:val="00370FAA"/>
    <w:rsid w:val="0037156A"/>
    <w:rsid w:val="0037172A"/>
    <w:rsid w:val="00371B27"/>
    <w:rsid w:val="00372291"/>
    <w:rsid w:val="0037279D"/>
    <w:rsid w:val="00372A76"/>
    <w:rsid w:val="00372C55"/>
    <w:rsid w:val="00372ECF"/>
    <w:rsid w:val="003731EC"/>
    <w:rsid w:val="0037354E"/>
    <w:rsid w:val="00373F35"/>
    <w:rsid w:val="003744E7"/>
    <w:rsid w:val="00375669"/>
    <w:rsid w:val="00376485"/>
    <w:rsid w:val="00376A57"/>
    <w:rsid w:val="00377182"/>
    <w:rsid w:val="00377B22"/>
    <w:rsid w:val="00380414"/>
    <w:rsid w:val="003832DC"/>
    <w:rsid w:val="0038484F"/>
    <w:rsid w:val="00384AD2"/>
    <w:rsid w:val="00384CD1"/>
    <w:rsid w:val="00384EEC"/>
    <w:rsid w:val="00385164"/>
    <w:rsid w:val="0038533D"/>
    <w:rsid w:val="00385B9B"/>
    <w:rsid w:val="00385FB5"/>
    <w:rsid w:val="00386669"/>
    <w:rsid w:val="00386940"/>
    <w:rsid w:val="0039079B"/>
    <w:rsid w:val="00391291"/>
    <w:rsid w:val="003912B5"/>
    <w:rsid w:val="003914A9"/>
    <w:rsid w:val="0039414D"/>
    <w:rsid w:val="003942B4"/>
    <w:rsid w:val="00394B30"/>
    <w:rsid w:val="00394E9E"/>
    <w:rsid w:val="00395106"/>
    <w:rsid w:val="00395177"/>
    <w:rsid w:val="00395D19"/>
    <w:rsid w:val="003962BF"/>
    <w:rsid w:val="00396487"/>
    <w:rsid w:val="0039797E"/>
    <w:rsid w:val="003A0CFA"/>
    <w:rsid w:val="003A124E"/>
    <w:rsid w:val="003A1498"/>
    <w:rsid w:val="003A382C"/>
    <w:rsid w:val="003A5C0C"/>
    <w:rsid w:val="003A649C"/>
    <w:rsid w:val="003A6A5E"/>
    <w:rsid w:val="003A742B"/>
    <w:rsid w:val="003A7747"/>
    <w:rsid w:val="003A780E"/>
    <w:rsid w:val="003B09EE"/>
    <w:rsid w:val="003B1A23"/>
    <w:rsid w:val="003B1AAE"/>
    <w:rsid w:val="003B32C7"/>
    <w:rsid w:val="003B3CB6"/>
    <w:rsid w:val="003B5AFD"/>
    <w:rsid w:val="003B7FB1"/>
    <w:rsid w:val="003C2890"/>
    <w:rsid w:val="003C2985"/>
    <w:rsid w:val="003C3274"/>
    <w:rsid w:val="003C3E27"/>
    <w:rsid w:val="003C55AD"/>
    <w:rsid w:val="003C57AC"/>
    <w:rsid w:val="003C5A85"/>
    <w:rsid w:val="003C61B0"/>
    <w:rsid w:val="003C6D27"/>
    <w:rsid w:val="003C75B9"/>
    <w:rsid w:val="003D0673"/>
    <w:rsid w:val="003D0B84"/>
    <w:rsid w:val="003D10EF"/>
    <w:rsid w:val="003D3DDF"/>
    <w:rsid w:val="003D4633"/>
    <w:rsid w:val="003D4CE5"/>
    <w:rsid w:val="003D4E37"/>
    <w:rsid w:val="003D5C95"/>
    <w:rsid w:val="003D680D"/>
    <w:rsid w:val="003D6F4D"/>
    <w:rsid w:val="003D76CF"/>
    <w:rsid w:val="003D7843"/>
    <w:rsid w:val="003D7F26"/>
    <w:rsid w:val="003E07E6"/>
    <w:rsid w:val="003E0EBA"/>
    <w:rsid w:val="003E11FB"/>
    <w:rsid w:val="003E189F"/>
    <w:rsid w:val="003E2681"/>
    <w:rsid w:val="003E28D3"/>
    <w:rsid w:val="003E4903"/>
    <w:rsid w:val="003E4F5B"/>
    <w:rsid w:val="003E5C17"/>
    <w:rsid w:val="003E5DF7"/>
    <w:rsid w:val="003E68FF"/>
    <w:rsid w:val="003E7D5B"/>
    <w:rsid w:val="003F0CDE"/>
    <w:rsid w:val="003F0E52"/>
    <w:rsid w:val="003F1CE1"/>
    <w:rsid w:val="003F25AB"/>
    <w:rsid w:val="003F27EA"/>
    <w:rsid w:val="003F2B84"/>
    <w:rsid w:val="003F2B89"/>
    <w:rsid w:val="003F3588"/>
    <w:rsid w:val="003F35BE"/>
    <w:rsid w:val="003F3D17"/>
    <w:rsid w:val="003F4451"/>
    <w:rsid w:val="003F5040"/>
    <w:rsid w:val="003F5052"/>
    <w:rsid w:val="004005A1"/>
    <w:rsid w:val="00401716"/>
    <w:rsid w:val="00401F0C"/>
    <w:rsid w:val="0040200E"/>
    <w:rsid w:val="00402286"/>
    <w:rsid w:val="00402956"/>
    <w:rsid w:val="00403EAA"/>
    <w:rsid w:val="00405206"/>
    <w:rsid w:val="00405236"/>
    <w:rsid w:val="004057D5"/>
    <w:rsid w:val="004058C8"/>
    <w:rsid w:val="00406467"/>
    <w:rsid w:val="00406ED9"/>
    <w:rsid w:val="0041115A"/>
    <w:rsid w:val="004116A1"/>
    <w:rsid w:val="00412280"/>
    <w:rsid w:val="00412677"/>
    <w:rsid w:val="00412739"/>
    <w:rsid w:val="00413504"/>
    <w:rsid w:val="004136C3"/>
    <w:rsid w:val="004139EA"/>
    <w:rsid w:val="0041563D"/>
    <w:rsid w:val="00416A86"/>
    <w:rsid w:val="00416D79"/>
    <w:rsid w:val="00417164"/>
    <w:rsid w:val="00417EDE"/>
    <w:rsid w:val="00420206"/>
    <w:rsid w:val="00420759"/>
    <w:rsid w:val="004215DD"/>
    <w:rsid w:val="004229F6"/>
    <w:rsid w:val="00423A2D"/>
    <w:rsid w:val="0042591C"/>
    <w:rsid w:val="004259DF"/>
    <w:rsid w:val="00425BB1"/>
    <w:rsid w:val="00426513"/>
    <w:rsid w:val="00426553"/>
    <w:rsid w:val="0042669B"/>
    <w:rsid w:val="00426E8D"/>
    <w:rsid w:val="00427231"/>
    <w:rsid w:val="0042728B"/>
    <w:rsid w:val="00430A3E"/>
    <w:rsid w:val="0043293E"/>
    <w:rsid w:val="00432953"/>
    <w:rsid w:val="004332FA"/>
    <w:rsid w:val="00433B4F"/>
    <w:rsid w:val="00433C15"/>
    <w:rsid w:val="00434CB4"/>
    <w:rsid w:val="00434E73"/>
    <w:rsid w:val="0043593E"/>
    <w:rsid w:val="00437F97"/>
    <w:rsid w:val="004403F5"/>
    <w:rsid w:val="004410FA"/>
    <w:rsid w:val="00441C20"/>
    <w:rsid w:val="00441F02"/>
    <w:rsid w:val="004427A4"/>
    <w:rsid w:val="00442BC4"/>
    <w:rsid w:val="00442CD6"/>
    <w:rsid w:val="00443573"/>
    <w:rsid w:val="00444056"/>
    <w:rsid w:val="004443CE"/>
    <w:rsid w:val="0044467B"/>
    <w:rsid w:val="004447AA"/>
    <w:rsid w:val="004447ED"/>
    <w:rsid w:val="00444C2A"/>
    <w:rsid w:val="00444DC1"/>
    <w:rsid w:val="00444FFF"/>
    <w:rsid w:val="004458C4"/>
    <w:rsid w:val="00446417"/>
    <w:rsid w:val="00446E36"/>
    <w:rsid w:val="004478F3"/>
    <w:rsid w:val="00450292"/>
    <w:rsid w:val="004505C9"/>
    <w:rsid w:val="00450CA0"/>
    <w:rsid w:val="00450E52"/>
    <w:rsid w:val="0045155C"/>
    <w:rsid w:val="0045212C"/>
    <w:rsid w:val="004530C2"/>
    <w:rsid w:val="004537A2"/>
    <w:rsid w:val="0045437B"/>
    <w:rsid w:val="0045464F"/>
    <w:rsid w:val="00454C41"/>
    <w:rsid w:val="004557DE"/>
    <w:rsid w:val="004559FB"/>
    <w:rsid w:val="00455E35"/>
    <w:rsid w:val="00456053"/>
    <w:rsid w:val="0045694C"/>
    <w:rsid w:val="00457308"/>
    <w:rsid w:val="004576BF"/>
    <w:rsid w:val="00457BDD"/>
    <w:rsid w:val="00457D69"/>
    <w:rsid w:val="004620D5"/>
    <w:rsid w:val="00462197"/>
    <w:rsid w:val="0046282B"/>
    <w:rsid w:val="00466F97"/>
    <w:rsid w:val="00467957"/>
    <w:rsid w:val="00467CF9"/>
    <w:rsid w:val="0047007F"/>
    <w:rsid w:val="00471F5B"/>
    <w:rsid w:val="00472B83"/>
    <w:rsid w:val="00472EE9"/>
    <w:rsid w:val="00473170"/>
    <w:rsid w:val="004741E0"/>
    <w:rsid w:val="004749B5"/>
    <w:rsid w:val="00474CD9"/>
    <w:rsid w:val="00475730"/>
    <w:rsid w:val="00475AEE"/>
    <w:rsid w:val="00476043"/>
    <w:rsid w:val="00476215"/>
    <w:rsid w:val="0047664B"/>
    <w:rsid w:val="004778F1"/>
    <w:rsid w:val="00477AEC"/>
    <w:rsid w:val="00480BDD"/>
    <w:rsid w:val="0048302E"/>
    <w:rsid w:val="00483926"/>
    <w:rsid w:val="004839DD"/>
    <w:rsid w:val="004847DF"/>
    <w:rsid w:val="00485515"/>
    <w:rsid w:val="004868D4"/>
    <w:rsid w:val="00486EA5"/>
    <w:rsid w:val="00490273"/>
    <w:rsid w:val="0049077B"/>
    <w:rsid w:val="0049105F"/>
    <w:rsid w:val="00491082"/>
    <w:rsid w:val="004925A7"/>
    <w:rsid w:val="00492F5E"/>
    <w:rsid w:val="004933A1"/>
    <w:rsid w:val="00493A58"/>
    <w:rsid w:val="00493F5C"/>
    <w:rsid w:val="004946F1"/>
    <w:rsid w:val="00495F52"/>
    <w:rsid w:val="00496DF6"/>
    <w:rsid w:val="004A06C2"/>
    <w:rsid w:val="004A0D19"/>
    <w:rsid w:val="004A16F6"/>
    <w:rsid w:val="004A3DBE"/>
    <w:rsid w:val="004A47A8"/>
    <w:rsid w:val="004A6EA8"/>
    <w:rsid w:val="004A7E79"/>
    <w:rsid w:val="004B018A"/>
    <w:rsid w:val="004B14B4"/>
    <w:rsid w:val="004B2108"/>
    <w:rsid w:val="004B2C4B"/>
    <w:rsid w:val="004B2CBD"/>
    <w:rsid w:val="004B35BB"/>
    <w:rsid w:val="004B40C6"/>
    <w:rsid w:val="004B4554"/>
    <w:rsid w:val="004B56FA"/>
    <w:rsid w:val="004B5CA0"/>
    <w:rsid w:val="004B7635"/>
    <w:rsid w:val="004C1839"/>
    <w:rsid w:val="004C1856"/>
    <w:rsid w:val="004C4C7B"/>
    <w:rsid w:val="004C5737"/>
    <w:rsid w:val="004C580F"/>
    <w:rsid w:val="004C5C62"/>
    <w:rsid w:val="004C6A60"/>
    <w:rsid w:val="004C6E19"/>
    <w:rsid w:val="004D0CD7"/>
    <w:rsid w:val="004D1306"/>
    <w:rsid w:val="004D1BCA"/>
    <w:rsid w:val="004D3C87"/>
    <w:rsid w:val="004D74AC"/>
    <w:rsid w:val="004E0069"/>
    <w:rsid w:val="004E0935"/>
    <w:rsid w:val="004E1237"/>
    <w:rsid w:val="004E1266"/>
    <w:rsid w:val="004E152F"/>
    <w:rsid w:val="004E1E94"/>
    <w:rsid w:val="004E2F7B"/>
    <w:rsid w:val="004E3022"/>
    <w:rsid w:val="004E3AB9"/>
    <w:rsid w:val="004E5078"/>
    <w:rsid w:val="004E5EE1"/>
    <w:rsid w:val="004E6184"/>
    <w:rsid w:val="004E6BD5"/>
    <w:rsid w:val="004E6E9A"/>
    <w:rsid w:val="004E725A"/>
    <w:rsid w:val="004F01F1"/>
    <w:rsid w:val="004F056D"/>
    <w:rsid w:val="004F05D3"/>
    <w:rsid w:val="004F0699"/>
    <w:rsid w:val="004F1238"/>
    <w:rsid w:val="004F2123"/>
    <w:rsid w:val="004F293A"/>
    <w:rsid w:val="004F477C"/>
    <w:rsid w:val="004F56F1"/>
    <w:rsid w:val="004F618A"/>
    <w:rsid w:val="004F775E"/>
    <w:rsid w:val="004F7E5F"/>
    <w:rsid w:val="005000EB"/>
    <w:rsid w:val="0050010C"/>
    <w:rsid w:val="00500B86"/>
    <w:rsid w:val="0050178D"/>
    <w:rsid w:val="0050187F"/>
    <w:rsid w:val="00501F1B"/>
    <w:rsid w:val="00502548"/>
    <w:rsid w:val="00502628"/>
    <w:rsid w:val="00502AD1"/>
    <w:rsid w:val="00504E1B"/>
    <w:rsid w:val="00505428"/>
    <w:rsid w:val="00506AC6"/>
    <w:rsid w:val="00512552"/>
    <w:rsid w:val="0051331B"/>
    <w:rsid w:val="00513763"/>
    <w:rsid w:val="00514CB7"/>
    <w:rsid w:val="00514D96"/>
    <w:rsid w:val="00515F88"/>
    <w:rsid w:val="00517E80"/>
    <w:rsid w:val="00517EE0"/>
    <w:rsid w:val="0052079D"/>
    <w:rsid w:val="00521F9F"/>
    <w:rsid w:val="0052455D"/>
    <w:rsid w:val="00524737"/>
    <w:rsid w:val="00526C2F"/>
    <w:rsid w:val="00527705"/>
    <w:rsid w:val="00530068"/>
    <w:rsid w:val="005313C1"/>
    <w:rsid w:val="00531A68"/>
    <w:rsid w:val="00531C43"/>
    <w:rsid w:val="00532522"/>
    <w:rsid w:val="00532576"/>
    <w:rsid w:val="00532A92"/>
    <w:rsid w:val="00532BB1"/>
    <w:rsid w:val="0053309E"/>
    <w:rsid w:val="00533914"/>
    <w:rsid w:val="00535D6C"/>
    <w:rsid w:val="00536280"/>
    <w:rsid w:val="0053715F"/>
    <w:rsid w:val="005373ED"/>
    <w:rsid w:val="005375E4"/>
    <w:rsid w:val="00537D8F"/>
    <w:rsid w:val="005415E8"/>
    <w:rsid w:val="00541A2D"/>
    <w:rsid w:val="005421D3"/>
    <w:rsid w:val="005422A7"/>
    <w:rsid w:val="005425EA"/>
    <w:rsid w:val="0054262B"/>
    <w:rsid w:val="00542FE2"/>
    <w:rsid w:val="00544AD3"/>
    <w:rsid w:val="00544B62"/>
    <w:rsid w:val="00544D9C"/>
    <w:rsid w:val="00544E4F"/>
    <w:rsid w:val="005455CA"/>
    <w:rsid w:val="0054564E"/>
    <w:rsid w:val="00545734"/>
    <w:rsid w:val="00545ADE"/>
    <w:rsid w:val="00545C52"/>
    <w:rsid w:val="00546AA9"/>
    <w:rsid w:val="005479AC"/>
    <w:rsid w:val="00550E48"/>
    <w:rsid w:val="00551214"/>
    <w:rsid w:val="0055207F"/>
    <w:rsid w:val="0055398E"/>
    <w:rsid w:val="00553D25"/>
    <w:rsid w:val="00553DF9"/>
    <w:rsid w:val="00554D99"/>
    <w:rsid w:val="00556227"/>
    <w:rsid w:val="00557A90"/>
    <w:rsid w:val="00560004"/>
    <w:rsid w:val="005614B5"/>
    <w:rsid w:val="0056187A"/>
    <w:rsid w:val="005627DD"/>
    <w:rsid w:val="00562A17"/>
    <w:rsid w:val="0056361D"/>
    <w:rsid w:val="00563A2C"/>
    <w:rsid w:val="00563B8F"/>
    <w:rsid w:val="0056404F"/>
    <w:rsid w:val="005642AC"/>
    <w:rsid w:val="0056453D"/>
    <w:rsid w:val="00565201"/>
    <w:rsid w:val="005655BA"/>
    <w:rsid w:val="00565EF8"/>
    <w:rsid w:val="005672DC"/>
    <w:rsid w:val="00567E43"/>
    <w:rsid w:val="00567F7D"/>
    <w:rsid w:val="00570110"/>
    <w:rsid w:val="00570AB2"/>
    <w:rsid w:val="00570C21"/>
    <w:rsid w:val="0057141F"/>
    <w:rsid w:val="005715D6"/>
    <w:rsid w:val="00573017"/>
    <w:rsid w:val="00573319"/>
    <w:rsid w:val="00574408"/>
    <w:rsid w:val="00575110"/>
    <w:rsid w:val="00575347"/>
    <w:rsid w:val="0057570D"/>
    <w:rsid w:val="00575886"/>
    <w:rsid w:val="00575BF0"/>
    <w:rsid w:val="00575F07"/>
    <w:rsid w:val="00576E03"/>
    <w:rsid w:val="00577EA9"/>
    <w:rsid w:val="005809E8"/>
    <w:rsid w:val="00580FF2"/>
    <w:rsid w:val="005815AE"/>
    <w:rsid w:val="005821EF"/>
    <w:rsid w:val="0058349D"/>
    <w:rsid w:val="00583F2D"/>
    <w:rsid w:val="00585F56"/>
    <w:rsid w:val="0058606C"/>
    <w:rsid w:val="00586977"/>
    <w:rsid w:val="00587245"/>
    <w:rsid w:val="00587A58"/>
    <w:rsid w:val="005905F5"/>
    <w:rsid w:val="005906B8"/>
    <w:rsid w:val="00590CEB"/>
    <w:rsid w:val="005911DA"/>
    <w:rsid w:val="00591461"/>
    <w:rsid w:val="00591D8B"/>
    <w:rsid w:val="005920AE"/>
    <w:rsid w:val="00592D77"/>
    <w:rsid w:val="00593AE6"/>
    <w:rsid w:val="00595470"/>
    <w:rsid w:val="005959C9"/>
    <w:rsid w:val="00595C2C"/>
    <w:rsid w:val="00595EEA"/>
    <w:rsid w:val="0059634B"/>
    <w:rsid w:val="00596902"/>
    <w:rsid w:val="00597B6D"/>
    <w:rsid w:val="00597BDC"/>
    <w:rsid w:val="005A022B"/>
    <w:rsid w:val="005A050D"/>
    <w:rsid w:val="005A0557"/>
    <w:rsid w:val="005A0CC1"/>
    <w:rsid w:val="005A1B4B"/>
    <w:rsid w:val="005A23AE"/>
    <w:rsid w:val="005A26B7"/>
    <w:rsid w:val="005A29A6"/>
    <w:rsid w:val="005A44DB"/>
    <w:rsid w:val="005A4BA5"/>
    <w:rsid w:val="005A5767"/>
    <w:rsid w:val="005A6617"/>
    <w:rsid w:val="005A7B79"/>
    <w:rsid w:val="005B0837"/>
    <w:rsid w:val="005B0D6B"/>
    <w:rsid w:val="005B0F15"/>
    <w:rsid w:val="005B1158"/>
    <w:rsid w:val="005B1E69"/>
    <w:rsid w:val="005B2480"/>
    <w:rsid w:val="005B24B6"/>
    <w:rsid w:val="005B26AB"/>
    <w:rsid w:val="005B2E6C"/>
    <w:rsid w:val="005B3520"/>
    <w:rsid w:val="005B3890"/>
    <w:rsid w:val="005B3E79"/>
    <w:rsid w:val="005B434C"/>
    <w:rsid w:val="005B5171"/>
    <w:rsid w:val="005B5732"/>
    <w:rsid w:val="005B73F4"/>
    <w:rsid w:val="005B7AEA"/>
    <w:rsid w:val="005C1A16"/>
    <w:rsid w:val="005C20D5"/>
    <w:rsid w:val="005C20D6"/>
    <w:rsid w:val="005C2498"/>
    <w:rsid w:val="005C2AE2"/>
    <w:rsid w:val="005C398E"/>
    <w:rsid w:val="005C3D40"/>
    <w:rsid w:val="005C5A09"/>
    <w:rsid w:val="005D16D5"/>
    <w:rsid w:val="005D17FF"/>
    <w:rsid w:val="005D19F4"/>
    <w:rsid w:val="005D2223"/>
    <w:rsid w:val="005D2F43"/>
    <w:rsid w:val="005D306D"/>
    <w:rsid w:val="005D43BC"/>
    <w:rsid w:val="005D4905"/>
    <w:rsid w:val="005D4A2A"/>
    <w:rsid w:val="005D4D28"/>
    <w:rsid w:val="005D505A"/>
    <w:rsid w:val="005D50DA"/>
    <w:rsid w:val="005D5223"/>
    <w:rsid w:val="005D54FD"/>
    <w:rsid w:val="005D641C"/>
    <w:rsid w:val="005D7D49"/>
    <w:rsid w:val="005E09FA"/>
    <w:rsid w:val="005E13B7"/>
    <w:rsid w:val="005E1812"/>
    <w:rsid w:val="005E1B6D"/>
    <w:rsid w:val="005E2B25"/>
    <w:rsid w:val="005E48AF"/>
    <w:rsid w:val="005E4A26"/>
    <w:rsid w:val="005E585F"/>
    <w:rsid w:val="005E70BD"/>
    <w:rsid w:val="005E7547"/>
    <w:rsid w:val="005E77D9"/>
    <w:rsid w:val="005F01F5"/>
    <w:rsid w:val="005F0F20"/>
    <w:rsid w:val="005F0FAF"/>
    <w:rsid w:val="005F11CC"/>
    <w:rsid w:val="005F1C33"/>
    <w:rsid w:val="005F22EB"/>
    <w:rsid w:val="005F3BC4"/>
    <w:rsid w:val="005F4796"/>
    <w:rsid w:val="005F5F93"/>
    <w:rsid w:val="005F60AF"/>
    <w:rsid w:val="005F68AE"/>
    <w:rsid w:val="005F69D0"/>
    <w:rsid w:val="005F72AC"/>
    <w:rsid w:val="006007DD"/>
    <w:rsid w:val="0060161D"/>
    <w:rsid w:val="00601D04"/>
    <w:rsid w:val="00603A65"/>
    <w:rsid w:val="00604ACB"/>
    <w:rsid w:val="00605A29"/>
    <w:rsid w:val="00606F14"/>
    <w:rsid w:val="00607460"/>
    <w:rsid w:val="00607785"/>
    <w:rsid w:val="00610D63"/>
    <w:rsid w:val="0061154D"/>
    <w:rsid w:val="00611FDA"/>
    <w:rsid w:val="006133D7"/>
    <w:rsid w:val="006143B0"/>
    <w:rsid w:val="006143FE"/>
    <w:rsid w:val="0061462C"/>
    <w:rsid w:val="00616B46"/>
    <w:rsid w:val="006172E7"/>
    <w:rsid w:val="00617940"/>
    <w:rsid w:val="0062063C"/>
    <w:rsid w:val="00621019"/>
    <w:rsid w:val="0062104C"/>
    <w:rsid w:val="00623D46"/>
    <w:rsid w:val="006240CE"/>
    <w:rsid w:val="00624E05"/>
    <w:rsid w:val="0062566D"/>
    <w:rsid w:val="00630399"/>
    <w:rsid w:val="0063057F"/>
    <w:rsid w:val="00630923"/>
    <w:rsid w:val="00630BDA"/>
    <w:rsid w:val="006313B9"/>
    <w:rsid w:val="0063234A"/>
    <w:rsid w:val="00633C47"/>
    <w:rsid w:val="00633F5B"/>
    <w:rsid w:val="006340FA"/>
    <w:rsid w:val="00635B21"/>
    <w:rsid w:val="00635FB6"/>
    <w:rsid w:val="00636074"/>
    <w:rsid w:val="00641020"/>
    <w:rsid w:val="006447B3"/>
    <w:rsid w:val="006459BE"/>
    <w:rsid w:val="00646424"/>
    <w:rsid w:val="00646543"/>
    <w:rsid w:val="00646D87"/>
    <w:rsid w:val="00647889"/>
    <w:rsid w:val="00650706"/>
    <w:rsid w:val="006508F6"/>
    <w:rsid w:val="00651479"/>
    <w:rsid w:val="00652CA7"/>
    <w:rsid w:val="0065380B"/>
    <w:rsid w:val="00653A1C"/>
    <w:rsid w:val="0065480F"/>
    <w:rsid w:val="006548C8"/>
    <w:rsid w:val="00654A2C"/>
    <w:rsid w:val="006552BD"/>
    <w:rsid w:val="006566AA"/>
    <w:rsid w:val="00656C38"/>
    <w:rsid w:val="006608F0"/>
    <w:rsid w:val="0066112F"/>
    <w:rsid w:val="006617DE"/>
    <w:rsid w:val="00662440"/>
    <w:rsid w:val="006632BB"/>
    <w:rsid w:val="00664F92"/>
    <w:rsid w:val="00667032"/>
    <w:rsid w:val="0066779E"/>
    <w:rsid w:val="00667D2C"/>
    <w:rsid w:val="00670764"/>
    <w:rsid w:val="00670B41"/>
    <w:rsid w:val="006713C9"/>
    <w:rsid w:val="0067168A"/>
    <w:rsid w:val="006717BF"/>
    <w:rsid w:val="0067319F"/>
    <w:rsid w:val="006731B9"/>
    <w:rsid w:val="006734FD"/>
    <w:rsid w:val="00673A1C"/>
    <w:rsid w:val="00673DF1"/>
    <w:rsid w:val="006747F5"/>
    <w:rsid w:val="00675A65"/>
    <w:rsid w:val="00677901"/>
    <w:rsid w:val="006779F6"/>
    <w:rsid w:val="00680315"/>
    <w:rsid w:val="006824D6"/>
    <w:rsid w:val="006831E9"/>
    <w:rsid w:val="00683876"/>
    <w:rsid w:val="00684DA6"/>
    <w:rsid w:val="00685EF5"/>
    <w:rsid w:val="0068621D"/>
    <w:rsid w:val="00687634"/>
    <w:rsid w:val="00687747"/>
    <w:rsid w:val="006877B3"/>
    <w:rsid w:val="00687CC4"/>
    <w:rsid w:val="00690EB1"/>
    <w:rsid w:val="00691B2F"/>
    <w:rsid w:val="00691BEF"/>
    <w:rsid w:val="006931E9"/>
    <w:rsid w:val="006934D9"/>
    <w:rsid w:val="00693922"/>
    <w:rsid w:val="00693BB9"/>
    <w:rsid w:val="00694031"/>
    <w:rsid w:val="006948DC"/>
    <w:rsid w:val="006950F8"/>
    <w:rsid w:val="006957A0"/>
    <w:rsid w:val="00695A17"/>
    <w:rsid w:val="00696E41"/>
    <w:rsid w:val="0069724A"/>
    <w:rsid w:val="00697528"/>
    <w:rsid w:val="00697A8A"/>
    <w:rsid w:val="00697D79"/>
    <w:rsid w:val="006A04ED"/>
    <w:rsid w:val="006A2A9B"/>
    <w:rsid w:val="006A3E13"/>
    <w:rsid w:val="006A4383"/>
    <w:rsid w:val="006A44E3"/>
    <w:rsid w:val="006A597C"/>
    <w:rsid w:val="006A60B4"/>
    <w:rsid w:val="006A6259"/>
    <w:rsid w:val="006A67B0"/>
    <w:rsid w:val="006A6DAB"/>
    <w:rsid w:val="006B08F2"/>
    <w:rsid w:val="006B124E"/>
    <w:rsid w:val="006B19FB"/>
    <w:rsid w:val="006B2365"/>
    <w:rsid w:val="006B25E2"/>
    <w:rsid w:val="006B2DEC"/>
    <w:rsid w:val="006B34B4"/>
    <w:rsid w:val="006B366D"/>
    <w:rsid w:val="006B3919"/>
    <w:rsid w:val="006B6671"/>
    <w:rsid w:val="006B67DD"/>
    <w:rsid w:val="006B6BE5"/>
    <w:rsid w:val="006B7735"/>
    <w:rsid w:val="006C00FC"/>
    <w:rsid w:val="006C2E91"/>
    <w:rsid w:val="006C34AB"/>
    <w:rsid w:val="006C3609"/>
    <w:rsid w:val="006C47EE"/>
    <w:rsid w:val="006C6225"/>
    <w:rsid w:val="006C658C"/>
    <w:rsid w:val="006C65EF"/>
    <w:rsid w:val="006C687D"/>
    <w:rsid w:val="006C7527"/>
    <w:rsid w:val="006C7A9F"/>
    <w:rsid w:val="006C7DC2"/>
    <w:rsid w:val="006D03D9"/>
    <w:rsid w:val="006D05D4"/>
    <w:rsid w:val="006D16E1"/>
    <w:rsid w:val="006D22F5"/>
    <w:rsid w:val="006D40F4"/>
    <w:rsid w:val="006D4B7B"/>
    <w:rsid w:val="006D50D4"/>
    <w:rsid w:val="006D5FC9"/>
    <w:rsid w:val="006D723D"/>
    <w:rsid w:val="006D7328"/>
    <w:rsid w:val="006D7D78"/>
    <w:rsid w:val="006D7D90"/>
    <w:rsid w:val="006D7ECF"/>
    <w:rsid w:val="006E0277"/>
    <w:rsid w:val="006E08CC"/>
    <w:rsid w:val="006E0998"/>
    <w:rsid w:val="006E0BD7"/>
    <w:rsid w:val="006E14EB"/>
    <w:rsid w:val="006E19B0"/>
    <w:rsid w:val="006E1C34"/>
    <w:rsid w:val="006E2213"/>
    <w:rsid w:val="006E4871"/>
    <w:rsid w:val="006E4C4C"/>
    <w:rsid w:val="006E4EEE"/>
    <w:rsid w:val="006E5EC5"/>
    <w:rsid w:val="006E6214"/>
    <w:rsid w:val="006E661F"/>
    <w:rsid w:val="006E75FE"/>
    <w:rsid w:val="006E769E"/>
    <w:rsid w:val="006E7ADC"/>
    <w:rsid w:val="006F008D"/>
    <w:rsid w:val="006F0651"/>
    <w:rsid w:val="006F18CC"/>
    <w:rsid w:val="006F1B77"/>
    <w:rsid w:val="006F213C"/>
    <w:rsid w:val="006F22F1"/>
    <w:rsid w:val="006F38A7"/>
    <w:rsid w:val="006F3D76"/>
    <w:rsid w:val="006F5517"/>
    <w:rsid w:val="006F56C7"/>
    <w:rsid w:val="006F641E"/>
    <w:rsid w:val="006F78A0"/>
    <w:rsid w:val="00701A8E"/>
    <w:rsid w:val="00701F3E"/>
    <w:rsid w:val="00702B8B"/>
    <w:rsid w:val="00703B97"/>
    <w:rsid w:val="00704016"/>
    <w:rsid w:val="00704490"/>
    <w:rsid w:val="00704541"/>
    <w:rsid w:val="007046A5"/>
    <w:rsid w:val="00704915"/>
    <w:rsid w:val="007056AB"/>
    <w:rsid w:val="00706918"/>
    <w:rsid w:val="00706DFF"/>
    <w:rsid w:val="00706E5B"/>
    <w:rsid w:val="00706FCC"/>
    <w:rsid w:val="0071031B"/>
    <w:rsid w:val="0071165E"/>
    <w:rsid w:val="00713985"/>
    <w:rsid w:val="0071400F"/>
    <w:rsid w:val="0071421E"/>
    <w:rsid w:val="0071422E"/>
    <w:rsid w:val="007148CA"/>
    <w:rsid w:val="007154A6"/>
    <w:rsid w:val="00715709"/>
    <w:rsid w:val="007159A0"/>
    <w:rsid w:val="007177A2"/>
    <w:rsid w:val="00717C67"/>
    <w:rsid w:val="007200B1"/>
    <w:rsid w:val="007209C7"/>
    <w:rsid w:val="00720EC1"/>
    <w:rsid w:val="00721920"/>
    <w:rsid w:val="007230C5"/>
    <w:rsid w:val="007235DD"/>
    <w:rsid w:val="00723C9E"/>
    <w:rsid w:val="0072492E"/>
    <w:rsid w:val="007262D1"/>
    <w:rsid w:val="00726511"/>
    <w:rsid w:val="007272C6"/>
    <w:rsid w:val="00727481"/>
    <w:rsid w:val="00727FE5"/>
    <w:rsid w:val="007320C3"/>
    <w:rsid w:val="007326C2"/>
    <w:rsid w:val="00732D43"/>
    <w:rsid w:val="00732E27"/>
    <w:rsid w:val="0073435C"/>
    <w:rsid w:val="0073485F"/>
    <w:rsid w:val="007349D1"/>
    <w:rsid w:val="00734C09"/>
    <w:rsid w:val="00735C42"/>
    <w:rsid w:val="00736FBA"/>
    <w:rsid w:val="00740840"/>
    <w:rsid w:val="007423AD"/>
    <w:rsid w:val="00742DD0"/>
    <w:rsid w:val="00744571"/>
    <w:rsid w:val="007449CE"/>
    <w:rsid w:val="007454F5"/>
    <w:rsid w:val="00745822"/>
    <w:rsid w:val="00745CA0"/>
    <w:rsid w:val="00745FED"/>
    <w:rsid w:val="007465EB"/>
    <w:rsid w:val="00746DB9"/>
    <w:rsid w:val="00746F55"/>
    <w:rsid w:val="007471E5"/>
    <w:rsid w:val="007474A4"/>
    <w:rsid w:val="00747EA6"/>
    <w:rsid w:val="00751FB8"/>
    <w:rsid w:val="00752B26"/>
    <w:rsid w:val="00754E24"/>
    <w:rsid w:val="007551F0"/>
    <w:rsid w:val="0075556D"/>
    <w:rsid w:val="007559E4"/>
    <w:rsid w:val="00756EAE"/>
    <w:rsid w:val="007575BC"/>
    <w:rsid w:val="00760408"/>
    <w:rsid w:val="00760DE9"/>
    <w:rsid w:val="007625F4"/>
    <w:rsid w:val="00762858"/>
    <w:rsid w:val="00763360"/>
    <w:rsid w:val="00764799"/>
    <w:rsid w:val="0076495A"/>
    <w:rsid w:val="00764D7D"/>
    <w:rsid w:val="007671F8"/>
    <w:rsid w:val="00767BEB"/>
    <w:rsid w:val="00770104"/>
    <w:rsid w:val="00770820"/>
    <w:rsid w:val="00770FDD"/>
    <w:rsid w:val="00770FE4"/>
    <w:rsid w:val="00771527"/>
    <w:rsid w:val="00771765"/>
    <w:rsid w:val="00772831"/>
    <w:rsid w:val="0077289A"/>
    <w:rsid w:val="0077349E"/>
    <w:rsid w:val="00774BD6"/>
    <w:rsid w:val="00774F64"/>
    <w:rsid w:val="0077506E"/>
    <w:rsid w:val="00775187"/>
    <w:rsid w:val="00777982"/>
    <w:rsid w:val="00780308"/>
    <w:rsid w:val="00780D8C"/>
    <w:rsid w:val="007813B7"/>
    <w:rsid w:val="00781AF8"/>
    <w:rsid w:val="0078262E"/>
    <w:rsid w:val="00782B8A"/>
    <w:rsid w:val="00782F61"/>
    <w:rsid w:val="007830A7"/>
    <w:rsid w:val="0078387C"/>
    <w:rsid w:val="00785237"/>
    <w:rsid w:val="007853FC"/>
    <w:rsid w:val="007855F8"/>
    <w:rsid w:val="0078621F"/>
    <w:rsid w:val="007863B9"/>
    <w:rsid w:val="007869A4"/>
    <w:rsid w:val="00791AAF"/>
    <w:rsid w:val="00791DA5"/>
    <w:rsid w:val="00791F52"/>
    <w:rsid w:val="0079234A"/>
    <w:rsid w:val="007924E3"/>
    <w:rsid w:val="00792D91"/>
    <w:rsid w:val="0079404B"/>
    <w:rsid w:val="0079691F"/>
    <w:rsid w:val="00796B7D"/>
    <w:rsid w:val="00796CF9"/>
    <w:rsid w:val="00797154"/>
    <w:rsid w:val="00797443"/>
    <w:rsid w:val="007A0BC8"/>
    <w:rsid w:val="007A1887"/>
    <w:rsid w:val="007A209F"/>
    <w:rsid w:val="007A2773"/>
    <w:rsid w:val="007A2FF9"/>
    <w:rsid w:val="007A51DF"/>
    <w:rsid w:val="007A52F6"/>
    <w:rsid w:val="007A58A5"/>
    <w:rsid w:val="007A5934"/>
    <w:rsid w:val="007A67DD"/>
    <w:rsid w:val="007A7FEB"/>
    <w:rsid w:val="007B1DF8"/>
    <w:rsid w:val="007B3EA1"/>
    <w:rsid w:val="007B525F"/>
    <w:rsid w:val="007B6928"/>
    <w:rsid w:val="007B7405"/>
    <w:rsid w:val="007B7480"/>
    <w:rsid w:val="007C12CC"/>
    <w:rsid w:val="007C22E4"/>
    <w:rsid w:val="007C425C"/>
    <w:rsid w:val="007C48E4"/>
    <w:rsid w:val="007C4D00"/>
    <w:rsid w:val="007C5CD7"/>
    <w:rsid w:val="007C5E6C"/>
    <w:rsid w:val="007C5FAE"/>
    <w:rsid w:val="007C6C4D"/>
    <w:rsid w:val="007D0E40"/>
    <w:rsid w:val="007D17D4"/>
    <w:rsid w:val="007D1889"/>
    <w:rsid w:val="007D2452"/>
    <w:rsid w:val="007D2FF4"/>
    <w:rsid w:val="007D37B4"/>
    <w:rsid w:val="007D3E6B"/>
    <w:rsid w:val="007D4877"/>
    <w:rsid w:val="007D4E0E"/>
    <w:rsid w:val="007D5940"/>
    <w:rsid w:val="007D5D4A"/>
    <w:rsid w:val="007D6469"/>
    <w:rsid w:val="007D694D"/>
    <w:rsid w:val="007D73E2"/>
    <w:rsid w:val="007D75E8"/>
    <w:rsid w:val="007D7B58"/>
    <w:rsid w:val="007E0096"/>
    <w:rsid w:val="007E120E"/>
    <w:rsid w:val="007E1A06"/>
    <w:rsid w:val="007E22BF"/>
    <w:rsid w:val="007E2CA2"/>
    <w:rsid w:val="007E3256"/>
    <w:rsid w:val="007E3565"/>
    <w:rsid w:val="007E3A88"/>
    <w:rsid w:val="007E4C29"/>
    <w:rsid w:val="007E4D08"/>
    <w:rsid w:val="007E4DCB"/>
    <w:rsid w:val="007E5140"/>
    <w:rsid w:val="007E5542"/>
    <w:rsid w:val="007E5B3A"/>
    <w:rsid w:val="007E5CB3"/>
    <w:rsid w:val="007E6D29"/>
    <w:rsid w:val="007E7653"/>
    <w:rsid w:val="007E7795"/>
    <w:rsid w:val="007E7932"/>
    <w:rsid w:val="007F0A8C"/>
    <w:rsid w:val="007F0BF0"/>
    <w:rsid w:val="007F212A"/>
    <w:rsid w:val="007F2766"/>
    <w:rsid w:val="007F308C"/>
    <w:rsid w:val="007F36B3"/>
    <w:rsid w:val="007F389F"/>
    <w:rsid w:val="007F471F"/>
    <w:rsid w:val="007F5576"/>
    <w:rsid w:val="007F55CE"/>
    <w:rsid w:val="007F7266"/>
    <w:rsid w:val="0080015A"/>
    <w:rsid w:val="0080057E"/>
    <w:rsid w:val="00801658"/>
    <w:rsid w:val="00801719"/>
    <w:rsid w:val="00802EB6"/>
    <w:rsid w:val="008030E4"/>
    <w:rsid w:val="00803B93"/>
    <w:rsid w:val="008040F7"/>
    <w:rsid w:val="00804D7E"/>
    <w:rsid w:val="008067E8"/>
    <w:rsid w:val="00807615"/>
    <w:rsid w:val="008107A7"/>
    <w:rsid w:val="00811263"/>
    <w:rsid w:val="008121D6"/>
    <w:rsid w:val="008128CD"/>
    <w:rsid w:val="00813728"/>
    <w:rsid w:val="00813BE6"/>
    <w:rsid w:val="00813D50"/>
    <w:rsid w:val="008142ED"/>
    <w:rsid w:val="0081591D"/>
    <w:rsid w:val="00816354"/>
    <w:rsid w:val="00816965"/>
    <w:rsid w:val="00817DB5"/>
    <w:rsid w:val="00820280"/>
    <w:rsid w:val="008202B3"/>
    <w:rsid w:val="00820A4D"/>
    <w:rsid w:val="00823181"/>
    <w:rsid w:val="008241C7"/>
    <w:rsid w:val="008249F0"/>
    <w:rsid w:val="00825085"/>
    <w:rsid w:val="0082595C"/>
    <w:rsid w:val="008265B4"/>
    <w:rsid w:val="00826840"/>
    <w:rsid w:val="00826C26"/>
    <w:rsid w:val="00827BE6"/>
    <w:rsid w:val="00831241"/>
    <w:rsid w:val="00831872"/>
    <w:rsid w:val="008319A3"/>
    <w:rsid w:val="00831AD8"/>
    <w:rsid w:val="00832AA1"/>
    <w:rsid w:val="00833431"/>
    <w:rsid w:val="00833AB8"/>
    <w:rsid w:val="00833EDB"/>
    <w:rsid w:val="00833FFC"/>
    <w:rsid w:val="00834D3A"/>
    <w:rsid w:val="0083765A"/>
    <w:rsid w:val="00837DF2"/>
    <w:rsid w:val="00840225"/>
    <w:rsid w:val="00840BE1"/>
    <w:rsid w:val="00840CF8"/>
    <w:rsid w:val="0084176E"/>
    <w:rsid w:val="00841D00"/>
    <w:rsid w:val="00842064"/>
    <w:rsid w:val="008420F9"/>
    <w:rsid w:val="008421B1"/>
    <w:rsid w:val="008421EC"/>
    <w:rsid w:val="00842261"/>
    <w:rsid w:val="00843769"/>
    <w:rsid w:val="00843DAD"/>
    <w:rsid w:val="008443E7"/>
    <w:rsid w:val="0084487B"/>
    <w:rsid w:val="00844A15"/>
    <w:rsid w:val="00844DA8"/>
    <w:rsid w:val="0084590B"/>
    <w:rsid w:val="00847382"/>
    <w:rsid w:val="008501BC"/>
    <w:rsid w:val="00850692"/>
    <w:rsid w:val="00850A11"/>
    <w:rsid w:val="008519DC"/>
    <w:rsid w:val="00852B93"/>
    <w:rsid w:val="00852E23"/>
    <w:rsid w:val="00852EF7"/>
    <w:rsid w:val="008531CF"/>
    <w:rsid w:val="00853247"/>
    <w:rsid w:val="00853248"/>
    <w:rsid w:val="0085355E"/>
    <w:rsid w:val="008536E2"/>
    <w:rsid w:val="00853E64"/>
    <w:rsid w:val="008545FD"/>
    <w:rsid w:val="008549E7"/>
    <w:rsid w:val="0086020A"/>
    <w:rsid w:val="00861F9F"/>
    <w:rsid w:val="00862C6F"/>
    <w:rsid w:val="00862CDD"/>
    <w:rsid w:val="00862ED2"/>
    <w:rsid w:val="008636A4"/>
    <w:rsid w:val="0086391A"/>
    <w:rsid w:val="00863C5B"/>
    <w:rsid w:val="008649B8"/>
    <w:rsid w:val="00865964"/>
    <w:rsid w:val="00867E64"/>
    <w:rsid w:val="008700C4"/>
    <w:rsid w:val="008710D1"/>
    <w:rsid w:val="00871B6C"/>
    <w:rsid w:val="0087305C"/>
    <w:rsid w:val="00873C82"/>
    <w:rsid w:val="00874CCA"/>
    <w:rsid w:val="008751E9"/>
    <w:rsid w:val="008757D0"/>
    <w:rsid w:val="0087587C"/>
    <w:rsid w:val="00876D59"/>
    <w:rsid w:val="0088193F"/>
    <w:rsid w:val="00881AE3"/>
    <w:rsid w:val="00881E88"/>
    <w:rsid w:val="00882967"/>
    <w:rsid w:val="00882E65"/>
    <w:rsid w:val="008837EB"/>
    <w:rsid w:val="00883B8B"/>
    <w:rsid w:val="0088493B"/>
    <w:rsid w:val="00884A9D"/>
    <w:rsid w:val="00885553"/>
    <w:rsid w:val="00885678"/>
    <w:rsid w:val="00885A6E"/>
    <w:rsid w:val="00885CA2"/>
    <w:rsid w:val="008866A6"/>
    <w:rsid w:val="00886C22"/>
    <w:rsid w:val="008873C8"/>
    <w:rsid w:val="0089046C"/>
    <w:rsid w:val="008905E1"/>
    <w:rsid w:val="00893333"/>
    <w:rsid w:val="00893B32"/>
    <w:rsid w:val="00894644"/>
    <w:rsid w:val="0089469B"/>
    <w:rsid w:val="00895BB2"/>
    <w:rsid w:val="00896EF3"/>
    <w:rsid w:val="00897AAE"/>
    <w:rsid w:val="00897BAB"/>
    <w:rsid w:val="008A01A0"/>
    <w:rsid w:val="008A0AFE"/>
    <w:rsid w:val="008A0BAD"/>
    <w:rsid w:val="008A1320"/>
    <w:rsid w:val="008A14AD"/>
    <w:rsid w:val="008A1D92"/>
    <w:rsid w:val="008A1E99"/>
    <w:rsid w:val="008A29B3"/>
    <w:rsid w:val="008A48F9"/>
    <w:rsid w:val="008A4A78"/>
    <w:rsid w:val="008A59DF"/>
    <w:rsid w:val="008A5C0B"/>
    <w:rsid w:val="008A63B4"/>
    <w:rsid w:val="008A6578"/>
    <w:rsid w:val="008A6B5C"/>
    <w:rsid w:val="008B1096"/>
    <w:rsid w:val="008B18D8"/>
    <w:rsid w:val="008B31F9"/>
    <w:rsid w:val="008B3BE5"/>
    <w:rsid w:val="008B3C01"/>
    <w:rsid w:val="008B4931"/>
    <w:rsid w:val="008B4E25"/>
    <w:rsid w:val="008B6107"/>
    <w:rsid w:val="008B705E"/>
    <w:rsid w:val="008B72EC"/>
    <w:rsid w:val="008C0378"/>
    <w:rsid w:val="008C0DE4"/>
    <w:rsid w:val="008C15A5"/>
    <w:rsid w:val="008C240B"/>
    <w:rsid w:val="008C2A0A"/>
    <w:rsid w:val="008C391A"/>
    <w:rsid w:val="008C44A8"/>
    <w:rsid w:val="008C55D0"/>
    <w:rsid w:val="008C5C54"/>
    <w:rsid w:val="008C6850"/>
    <w:rsid w:val="008C6FB0"/>
    <w:rsid w:val="008C76AA"/>
    <w:rsid w:val="008C7871"/>
    <w:rsid w:val="008C7C1F"/>
    <w:rsid w:val="008D145F"/>
    <w:rsid w:val="008D3932"/>
    <w:rsid w:val="008D397E"/>
    <w:rsid w:val="008D3FAD"/>
    <w:rsid w:val="008D5336"/>
    <w:rsid w:val="008D7610"/>
    <w:rsid w:val="008D7D8B"/>
    <w:rsid w:val="008D7EBB"/>
    <w:rsid w:val="008E0DFC"/>
    <w:rsid w:val="008E10AE"/>
    <w:rsid w:val="008E1222"/>
    <w:rsid w:val="008E1ABB"/>
    <w:rsid w:val="008E1EE7"/>
    <w:rsid w:val="008E2A8F"/>
    <w:rsid w:val="008E2E77"/>
    <w:rsid w:val="008E3CDC"/>
    <w:rsid w:val="008E3DF1"/>
    <w:rsid w:val="008E474A"/>
    <w:rsid w:val="008E4F9D"/>
    <w:rsid w:val="008E526B"/>
    <w:rsid w:val="008E5AEE"/>
    <w:rsid w:val="008E7450"/>
    <w:rsid w:val="008E7690"/>
    <w:rsid w:val="008F0306"/>
    <w:rsid w:val="008F0900"/>
    <w:rsid w:val="008F102F"/>
    <w:rsid w:val="008F135F"/>
    <w:rsid w:val="008F1AE6"/>
    <w:rsid w:val="008F23C4"/>
    <w:rsid w:val="008F300F"/>
    <w:rsid w:val="008F347A"/>
    <w:rsid w:val="008F4A20"/>
    <w:rsid w:val="008F501C"/>
    <w:rsid w:val="008F581C"/>
    <w:rsid w:val="008F5CFB"/>
    <w:rsid w:val="008F5E6E"/>
    <w:rsid w:val="008F650F"/>
    <w:rsid w:val="008F7DE1"/>
    <w:rsid w:val="00900081"/>
    <w:rsid w:val="00901721"/>
    <w:rsid w:val="00901F2D"/>
    <w:rsid w:val="00902FEB"/>
    <w:rsid w:val="0090469B"/>
    <w:rsid w:val="00904A90"/>
    <w:rsid w:val="00904FD4"/>
    <w:rsid w:val="00907A2A"/>
    <w:rsid w:val="009131E6"/>
    <w:rsid w:val="00913482"/>
    <w:rsid w:val="00913C79"/>
    <w:rsid w:val="00913DFA"/>
    <w:rsid w:val="009140F4"/>
    <w:rsid w:val="00914478"/>
    <w:rsid w:val="00914DA0"/>
    <w:rsid w:val="009163DB"/>
    <w:rsid w:val="0091667D"/>
    <w:rsid w:val="00916C85"/>
    <w:rsid w:val="00917B84"/>
    <w:rsid w:val="00920025"/>
    <w:rsid w:val="009202BE"/>
    <w:rsid w:val="00920351"/>
    <w:rsid w:val="00921F43"/>
    <w:rsid w:val="00924470"/>
    <w:rsid w:val="00924521"/>
    <w:rsid w:val="00924555"/>
    <w:rsid w:val="009249FC"/>
    <w:rsid w:val="00924BBA"/>
    <w:rsid w:val="00924C74"/>
    <w:rsid w:val="00925082"/>
    <w:rsid w:val="00925615"/>
    <w:rsid w:val="009266AC"/>
    <w:rsid w:val="00926ACB"/>
    <w:rsid w:val="00927322"/>
    <w:rsid w:val="009276D8"/>
    <w:rsid w:val="009302B2"/>
    <w:rsid w:val="00930D97"/>
    <w:rsid w:val="00930F80"/>
    <w:rsid w:val="009312F6"/>
    <w:rsid w:val="0093135A"/>
    <w:rsid w:val="00933D78"/>
    <w:rsid w:val="0093441F"/>
    <w:rsid w:val="00936A8A"/>
    <w:rsid w:val="00936FFA"/>
    <w:rsid w:val="009375E9"/>
    <w:rsid w:val="00937D97"/>
    <w:rsid w:val="00940657"/>
    <w:rsid w:val="0094089D"/>
    <w:rsid w:val="00940B1D"/>
    <w:rsid w:val="00942EC0"/>
    <w:rsid w:val="00943012"/>
    <w:rsid w:val="009433C6"/>
    <w:rsid w:val="00943B1B"/>
    <w:rsid w:val="00943DB7"/>
    <w:rsid w:val="00944A4D"/>
    <w:rsid w:val="00945832"/>
    <w:rsid w:val="00945D04"/>
    <w:rsid w:val="009468EA"/>
    <w:rsid w:val="00946C80"/>
    <w:rsid w:val="00946D3F"/>
    <w:rsid w:val="009507F6"/>
    <w:rsid w:val="009511D9"/>
    <w:rsid w:val="009513D3"/>
    <w:rsid w:val="009515CB"/>
    <w:rsid w:val="0095174E"/>
    <w:rsid w:val="00952A6E"/>
    <w:rsid w:val="00952FD5"/>
    <w:rsid w:val="009537DF"/>
    <w:rsid w:val="009538EB"/>
    <w:rsid w:val="00953EF7"/>
    <w:rsid w:val="009557DF"/>
    <w:rsid w:val="009565DA"/>
    <w:rsid w:val="00960024"/>
    <w:rsid w:val="00961C0A"/>
    <w:rsid w:val="00961E50"/>
    <w:rsid w:val="00962805"/>
    <w:rsid w:val="00962984"/>
    <w:rsid w:val="0096333E"/>
    <w:rsid w:val="00963577"/>
    <w:rsid w:val="00963699"/>
    <w:rsid w:val="00963D61"/>
    <w:rsid w:val="00964EAC"/>
    <w:rsid w:val="00965BBC"/>
    <w:rsid w:val="00966370"/>
    <w:rsid w:val="009664B6"/>
    <w:rsid w:val="00967A99"/>
    <w:rsid w:val="009700D5"/>
    <w:rsid w:val="00970B22"/>
    <w:rsid w:val="00970D02"/>
    <w:rsid w:val="00970FE3"/>
    <w:rsid w:val="00972EAA"/>
    <w:rsid w:val="00973864"/>
    <w:rsid w:val="009739A5"/>
    <w:rsid w:val="00973BE6"/>
    <w:rsid w:val="009749A5"/>
    <w:rsid w:val="00974E40"/>
    <w:rsid w:val="00974FD8"/>
    <w:rsid w:val="0097522E"/>
    <w:rsid w:val="0097546E"/>
    <w:rsid w:val="009758C0"/>
    <w:rsid w:val="009766DB"/>
    <w:rsid w:val="00977023"/>
    <w:rsid w:val="0097715F"/>
    <w:rsid w:val="00977240"/>
    <w:rsid w:val="00981D2E"/>
    <w:rsid w:val="009831A2"/>
    <w:rsid w:val="00983BC8"/>
    <w:rsid w:val="0098498E"/>
    <w:rsid w:val="00985ECD"/>
    <w:rsid w:val="00986123"/>
    <w:rsid w:val="00986873"/>
    <w:rsid w:val="00987059"/>
    <w:rsid w:val="0098758B"/>
    <w:rsid w:val="00987A5E"/>
    <w:rsid w:val="00987FBB"/>
    <w:rsid w:val="009903E5"/>
    <w:rsid w:val="009904AD"/>
    <w:rsid w:val="00990C49"/>
    <w:rsid w:val="009917B4"/>
    <w:rsid w:val="00991A3E"/>
    <w:rsid w:val="00991AAF"/>
    <w:rsid w:val="009921FF"/>
    <w:rsid w:val="00993323"/>
    <w:rsid w:val="0099431A"/>
    <w:rsid w:val="009948C2"/>
    <w:rsid w:val="00995741"/>
    <w:rsid w:val="00996478"/>
    <w:rsid w:val="00996674"/>
    <w:rsid w:val="00996B2A"/>
    <w:rsid w:val="00996C65"/>
    <w:rsid w:val="009976E3"/>
    <w:rsid w:val="009A292C"/>
    <w:rsid w:val="009A2F50"/>
    <w:rsid w:val="009A373A"/>
    <w:rsid w:val="009A3E90"/>
    <w:rsid w:val="009A4615"/>
    <w:rsid w:val="009A475B"/>
    <w:rsid w:val="009A4F42"/>
    <w:rsid w:val="009A55DA"/>
    <w:rsid w:val="009A5B58"/>
    <w:rsid w:val="009A6614"/>
    <w:rsid w:val="009A7A18"/>
    <w:rsid w:val="009A7BDC"/>
    <w:rsid w:val="009B0B87"/>
    <w:rsid w:val="009B14E6"/>
    <w:rsid w:val="009B21F7"/>
    <w:rsid w:val="009B2A68"/>
    <w:rsid w:val="009B300D"/>
    <w:rsid w:val="009B33FC"/>
    <w:rsid w:val="009B36C1"/>
    <w:rsid w:val="009B3CFD"/>
    <w:rsid w:val="009B3EB1"/>
    <w:rsid w:val="009B4CA4"/>
    <w:rsid w:val="009B5F55"/>
    <w:rsid w:val="009B6B7B"/>
    <w:rsid w:val="009B772A"/>
    <w:rsid w:val="009B7957"/>
    <w:rsid w:val="009C038B"/>
    <w:rsid w:val="009C040E"/>
    <w:rsid w:val="009C0A15"/>
    <w:rsid w:val="009C15F5"/>
    <w:rsid w:val="009C16DF"/>
    <w:rsid w:val="009C1813"/>
    <w:rsid w:val="009C1DD5"/>
    <w:rsid w:val="009C2CC1"/>
    <w:rsid w:val="009C47E1"/>
    <w:rsid w:val="009C66A8"/>
    <w:rsid w:val="009C70F3"/>
    <w:rsid w:val="009C781F"/>
    <w:rsid w:val="009C7BA9"/>
    <w:rsid w:val="009D0936"/>
    <w:rsid w:val="009D1179"/>
    <w:rsid w:val="009D1B7C"/>
    <w:rsid w:val="009D3D03"/>
    <w:rsid w:val="009D41D9"/>
    <w:rsid w:val="009D49C4"/>
    <w:rsid w:val="009D5584"/>
    <w:rsid w:val="009D5606"/>
    <w:rsid w:val="009D5683"/>
    <w:rsid w:val="009D7070"/>
    <w:rsid w:val="009D79A0"/>
    <w:rsid w:val="009E02E1"/>
    <w:rsid w:val="009E0895"/>
    <w:rsid w:val="009E0ED3"/>
    <w:rsid w:val="009E1CE8"/>
    <w:rsid w:val="009E2872"/>
    <w:rsid w:val="009E2E1C"/>
    <w:rsid w:val="009E2FD8"/>
    <w:rsid w:val="009E4215"/>
    <w:rsid w:val="009E4D40"/>
    <w:rsid w:val="009E508B"/>
    <w:rsid w:val="009E69BC"/>
    <w:rsid w:val="009E6D10"/>
    <w:rsid w:val="009E6EA8"/>
    <w:rsid w:val="009E747E"/>
    <w:rsid w:val="009E7A78"/>
    <w:rsid w:val="009E7BC1"/>
    <w:rsid w:val="009E7F5A"/>
    <w:rsid w:val="009F13AA"/>
    <w:rsid w:val="009F1571"/>
    <w:rsid w:val="009F206F"/>
    <w:rsid w:val="009F4617"/>
    <w:rsid w:val="009F7849"/>
    <w:rsid w:val="009F7CEA"/>
    <w:rsid w:val="00A00875"/>
    <w:rsid w:val="00A009ED"/>
    <w:rsid w:val="00A00DE7"/>
    <w:rsid w:val="00A01A35"/>
    <w:rsid w:val="00A02339"/>
    <w:rsid w:val="00A033B0"/>
    <w:rsid w:val="00A041E9"/>
    <w:rsid w:val="00A0447F"/>
    <w:rsid w:val="00A0469E"/>
    <w:rsid w:val="00A04F82"/>
    <w:rsid w:val="00A06DEF"/>
    <w:rsid w:val="00A06F17"/>
    <w:rsid w:val="00A1099C"/>
    <w:rsid w:val="00A1100E"/>
    <w:rsid w:val="00A113D9"/>
    <w:rsid w:val="00A11427"/>
    <w:rsid w:val="00A121C5"/>
    <w:rsid w:val="00A13273"/>
    <w:rsid w:val="00A1744A"/>
    <w:rsid w:val="00A2219C"/>
    <w:rsid w:val="00A232B4"/>
    <w:rsid w:val="00A23B9C"/>
    <w:rsid w:val="00A24152"/>
    <w:rsid w:val="00A26B1D"/>
    <w:rsid w:val="00A26DD2"/>
    <w:rsid w:val="00A270D5"/>
    <w:rsid w:val="00A27474"/>
    <w:rsid w:val="00A2765F"/>
    <w:rsid w:val="00A30FFF"/>
    <w:rsid w:val="00A31811"/>
    <w:rsid w:val="00A35501"/>
    <w:rsid w:val="00A35B2B"/>
    <w:rsid w:val="00A36E2B"/>
    <w:rsid w:val="00A3784E"/>
    <w:rsid w:val="00A37CFE"/>
    <w:rsid w:val="00A37FAB"/>
    <w:rsid w:val="00A408DB"/>
    <w:rsid w:val="00A43536"/>
    <w:rsid w:val="00A43BE3"/>
    <w:rsid w:val="00A43EE1"/>
    <w:rsid w:val="00A43EED"/>
    <w:rsid w:val="00A440B5"/>
    <w:rsid w:val="00A44E7F"/>
    <w:rsid w:val="00A4506E"/>
    <w:rsid w:val="00A45447"/>
    <w:rsid w:val="00A47166"/>
    <w:rsid w:val="00A474EF"/>
    <w:rsid w:val="00A4765A"/>
    <w:rsid w:val="00A476EF"/>
    <w:rsid w:val="00A5012A"/>
    <w:rsid w:val="00A50818"/>
    <w:rsid w:val="00A51CCF"/>
    <w:rsid w:val="00A53177"/>
    <w:rsid w:val="00A545E5"/>
    <w:rsid w:val="00A54660"/>
    <w:rsid w:val="00A54D7B"/>
    <w:rsid w:val="00A55143"/>
    <w:rsid w:val="00A55260"/>
    <w:rsid w:val="00A55DC1"/>
    <w:rsid w:val="00A6139A"/>
    <w:rsid w:val="00A6196D"/>
    <w:rsid w:val="00A61BF1"/>
    <w:rsid w:val="00A620AE"/>
    <w:rsid w:val="00A630A5"/>
    <w:rsid w:val="00A64604"/>
    <w:rsid w:val="00A6494E"/>
    <w:rsid w:val="00A65F66"/>
    <w:rsid w:val="00A6636A"/>
    <w:rsid w:val="00A66642"/>
    <w:rsid w:val="00A66F5D"/>
    <w:rsid w:val="00A6784F"/>
    <w:rsid w:val="00A67A30"/>
    <w:rsid w:val="00A7085D"/>
    <w:rsid w:val="00A71E83"/>
    <w:rsid w:val="00A72714"/>
    <w:rsid w:val="00A73AFE"/>
    <w:rsid w:val="00A741E1"/>
    <w:rsid w:val="00A750FB"/>
    <w:rsid w:val="00A75206"/>
    <w:rsid w:val="00A76008"/>
    <w:rsid w:val="00A76322"/>
    <w:rsid w:val="00A771E4"/>
    <w:rsid w:val="00A8011A"/>
    <w:rsid w:val="00A808E3"/>
    <w:rsid w:val="00A80DF5"/>
    <w:rsid w:val="00A818E2"/>
    <w:rsid w:val="00A820D4"/>
    <w:rsid w:val="00A82A5F"/>
    <w:rsid w:val="00A82B5D"/>
    <w:rsid w:val="00A82BDD"/>
    <w:rsid w:val="00A82D65"/>
    <w:rsid w:val="00A879B5"/>
    <w:rsid w:val="00A90B74"/>
    <w:rsid w:val="00A90E95"/>
    <w:rsid w:val="00A911DD"/>
    <w:rsid w:val="00A91D90"/>
    <w:rsid w:val="00A93B9F"/>
    <w:rsid w:val="00A9577B"/>
    <w:rsid w:val="00A975D6"/>
    <w:rsid w:val="00A976E3"/>
    <w:rsid w:val="00AA4725"/>
    <w:rsid w:val="00AA712D"/>
    <w:rsid w:val="00AB01AE"/>
    <w:rsid w:val="00AB0E01"/>
    <w:rsid w:val="00AB0E90"/>
    <w:rsid w:val="00AB2612"/>
    <w:rsid w:val="00AB27FF"/>
    <w:rsid w:val="00AB2825"/>
    <w:rsid w:val="00AB363D"/>
    <w:rsid w:val="00AB38B0"/>
    <w:rsid w:val="00AB40F8"/>
    <w:rsid w:val="00AB4159"/>
    <w:rsid w:val="00AB463F"/>
    <w:rsid w:val="00AB527B"/>
    <w:rsid w:val="00AB6EF0"/>
    <w:rsid w:val="00AB6EFF"/>
    <w:rsid w:val="00AC08E0"/>
    <w:rsid w:val="00AC1A33"/>
    <w:rsid w:val="00AC1F70"/>
    <w:rsid w:val="00AC2FDF"/>
    <w:rsid w:val="00AC3008"/>
    <w:rsid w:val="00AC32CB"/>
    <w:rsid w:val="00AC419D"/>
    <w:rsid w:val="00AC447C"/>
    <w:rsid w:val="00AC62B9"/>
    <w:rsid w:val="00AC62BA"/>
    <w:rsid w:val="00AC6DAF"/>
    <w:rsid w:val="00AC73A1"/>
    <w:rsid w:val="00AD047F"/>
    <w:rsid w:val="00AD08F0"/>
    <w:rsid w:val="00AD0C3F"/>
    <w:rsid w:val="00AD1B17"/>
    <w:rsid w:val="00AD1C07"/>
    <w:rsid w:val="00AD35BD"/>
    <w:rsid w:val="00AD39C8"/>
    <w:rsid w:val="00AD3FB5"/>
    <w:rsid w:val="00AD42BB"/>
    <w:rsid w:val="00AD4855"/>
    <w:rsid w:val="00AD5346"/>
    <w:rsid w:val="00AD5B2E"/>
    <w:rsid w:val="00AD5F03"/>
    <w:rsid w:val="00AD6201"/>
    <w:rsid w:val="00AD661D"/>
    <w:rsid w:val="00AD6E33"/>
    <w:rsid w:val="00AE017F"/>
    <w:rsid w:val="00AE169B"/>
    <w:rsid w:val="00AE1996"/>
    <w:rsid w:val="00AE2545"/>
    <w:rsid w:val="00AE3D47"/>
    <w:rsid w:val="00AE4D88"/>
    <w:rsid w:val="00AE563A"/>
    <w:rsid w:val="00AE5D2C"/>
    <w:rsid w:val="00AE617A"/>
    <w:rsid w:val="00AE6574"/>
    <w:rsid w:val="00AE67A3"/>
    <w:rsid w:val="00AE7094"/>
    <w:rsid w:val="00AE725F"/>
    <w:rsid w:val="00AF1C88"/>
    <w:rsid w:val="00AF2406"/>
    <w:rsid w:val="00AF5198"/>
    <w:rsid w:val="00B01328"/>
    <w:rsid w:val="00B022EF"/>
    <w:rsid w:val="00B033AD"/>
    <w:rsid w:val="00B035E8"/>
    <w:rsid w:val="00B036DC"/>
    <w:rsid w:val="00B03F71"/>
    <w:rsid w:val="00B03FE0"/>
    <w:rsid w:val="00B04497"/>
    <w:rsid w:val="00B04530"/>
    <w:rsid w:val="00B045DC"/>
    <w:rsid w:val="00B0580B"/>
    <w:rsid w:val="00B059DD"/>
    <w:rsid w:val="00B05A46"/>
    <w:rsid w:val="00B061B3"/>
    <w:rsid w:val="00B06304"/>
    <w:rsid w:val="00B06955"/>
    <w:rsid w:val="00B070B3"/>
    <w:rsid w:val="00B076F5"/>
    <w:rsid w:val="00B07BE4"/>
    <w:rsid w:val="00B07C1A"/>
    <w:rsid w:val="00B11652"/>
    <w:rsid w:val="00B11A98"/>
    <w:rsid w:val="00B12149"/>
    <w:rsid w:val="00B132CF"/>
    <w:rsid w:val="00B14018"/>
    <w:rsid w:val="00B143D5"/>
    <w:rsid w:val="00B1466E"/>
    <w:rsid w:val="00B147CA"/>
    <w:rsid w:val="00B14BA7"/>
    <w:rsid w:val="00B155FC"/>
    <w:rsid w:val="00B15ADE"/>
    <w:rsid w:val="00B15D54"/>
    <w:rsid w:val="00B160E0"/>
    <w:rsid w:val="00B20D02"/>
    <w:rsid w:val="00B2163E"/>
    <w:rsid w:val="00B21C3A"/>
    <w:rsid w:val="00B2261B"/>
    <w:rsid w:val="00B22BDF"/>
    <w:rsid w:val="00B2330A"/>
    <w:rsid w:val="00B23BA9"/>
    <w:rsid w:val="00B248F6"/>
    <w:rsid w:val="00B24E1F"/>
    <w:rsid w:val="00B250CD"/>
    <w:rsid w:val="00B2526C"/>
    <w:rsid w:val="00B25B5B"/>
    <w:rsid w:val="00B25DE8"/>
    <w:rsid w:val="00B2718C"/>
    <w:rsid w:val="00B300F1"/>
    <w:rsid w:val="00B3017A"/>
    <w:rsid w:val="00B3186A"/>
    <w:rsid w:val="00B3201F"/>
    <w:rsid w:val="00B330CA"/>
    <w:rsid w:val="00B342A0"/>
    <w:rsid w:val="00B346A2"/>
    <w:rsid w:val="00B34F7B"/>
    <w:rsid w:val="00B35107"/>
    <w:rsid w:val="00B36466"/>
    <w:rsid w:val="00B36785"/>
    <w:rsid w:val="00B40030"/>
    <w:rsid w:val="00B40469"/>
    <w:rsid w:val="00B410AF"/>
    <w:rsid w:val="00B4119F"/>
    <w:rsid w:val="00B4199D"/>
    <w:rsid w:val="00B4247B"/>
    <w:rsid w:val="00B42B29"/>
    <w:rsid w:val="00B42DA8"/>
    <w:rsid w:val="00B42E6F"/>
    <w:rsid w:val="00B4374A"/>
    <w:rsid w:val="00B4394B"/>
    <w:rsid w:val="00B45196"/>
    <w:rsid w:val="00B45D32"/>
    <w:rsid w:val="00B46BD4"/>
    <w:rsid w:val="00B46E71"/>
    <w:rsid w:val="00B475C9"/>
    <w:rsid w:val="00B47C61"/>
    <w:rsid w:val="00B512DE"/>
    <w:rsid w:val="00B51E0E"/>
    <w:rsid w:val="00B5353F"/>
    <w:rsid w:val="00B5355E"/>
    <w:rsid w:val="00B54A7A"/>
    <w:rsid w:val="00B55253"/>
    <w:rsid w:val="00B5575F"/>
    <w:rsid w:val="00B56CA6"/>
    <w:rsid w:val="00B57A14"/>
    <w:rsid w:val="00B57D0C"/>
    <w:rsid w:val="00B60D09"/>
    <w:rsid w:val="00B628FC"/>
    <w:rsid w:val="00B62A4D"/>
    <w:rsid w:val="00B62D0C"/>
    <w:rsid w:val="00B63812"/>
    <w:rsid w:val="00B64838"/>
    <w:rsid w:val="00B64D68"/>
    <w:rsid w:val="00B66BFB"/>
    <w:rsid w:val="00B67A7D"/>
    <w:rsid w:val="00B71422"/>
    <w:rsid w:val="00B7171E"/>
    <w:rsid w:val="00B72572"/>
    <w:rsid w:val="00B72AF0"/>
    <w:rsid w:val="00B72DF0"/>
    <w:rsid w:val="00B7335D"/>
    <w:rsid w:val="00B778ED"/>
    <w:rsid w:val="00B80ED4"/>
    <w:rsid w:val="00B82448"/>
    <w:rsid w:val="00B82DB0"/>
    <w:rsid w:val="00B83AE9"/>
    <w:rsid w:val="00B83C11"/>
    <w:rsid w:val="00B84CA9"/>
    <w:rsid w:val="00B851C7"/>
    <w:rsid w:val="00B85E5B"/>
    <w:rsid w:val="00B86527"/>
    <w:rsid w:val="00B86F8B"/>
    <w:rsid w:val="00B873D1"/>
    <w:rsid w:val="00B87D36"/>
    <w:rsid w:val="00B902B7"/>
    <w:rsid w:val="00B90D58"/>
    <w:rsid w:val="00B90DD3"/>
    <w:rsid w:val="00B922E5"/>
    <w:rsid w:val="00B9441B"/>
    <w:rsid w:val="00B94707"/>
    <w:rsid w:val="00B948D4"/>
    <w:rsid w:val="00B94D54"/>
    <w:rsid w:val="00B95BA0"/>
    <w:rsid w:val="00B9626C"/>
    <w:rsid w:val="00B96CE4"/>
    <w:rsid w:val="00B97EAB"/>
    <w:rsid w:val="00BA0C21"/>
    <w:rsid w:val="00BA0FDC"/>
    <w:rsid w:val="00BA1836"/>
    <w:rsid w:val="00BA1D14"/>
    <w:rsid w:val="00BA380C"/>
    <w:rsid w:val="00BA4004"/>
    <w:rsid w:val="00BA4DD8"/>
    <w:rsid w:val="00BA5164"/>
    <w:rsid w:val="00BA5460"/>
    <w:rsid w:val="00BA622D"/>
    <w:rsid w:val="00BA64BC"/>
    <w:rsid w:val="00BA7515"/>
    <w:rsid w:val="00BA7928"/>
    <w:rsid w:val="00BB106A"/>
    <w:rsid w:val="00BB1125"/>
    <w:rsid w:val="00BB2072"/>
    <w:rsid w:val="00BB309D"/>
    <w:rsid w:val="00BB3877"/>
    <w:rsid w:val="00BB3E1F"/>
    <w:rsid w:val="00BB46C1"/>
    <w:rsid w:val="00BB4E4A"/>
    <w:rsid w:val="00BB4FEC"/>
    <w:rsid w:val="00BB53A6"/>
    <w:rsid w:val="00BB5CC5"/>
    <w:rsid w:val="00BB64F3"/>
    <w:rsid w:val="00BB676C"/>
    <w:rsid w:val="00BB7A64"/>
    <w:rsid w:val="00BB7B41"/>
    <w:rsid w:val="00BC3BFB"/>
    <w:rsid w:val="00BC3C35"/>
    <w:rsid w:val="00BC4509"/>
    <w:rsid w:val="00BC5004"/>
    <w:rsid w:val="00BC57C2"/>
    <w:rsid w:val="00BC61E6"/>
    <w:rsid w:val="00BC631D"/>
    <w:rsid w:val="00BC6BAC"/>
    <w:rsid w:val="00BC6C6C"/>
    <w:rsid w:val="00BD000D"/>
    <w:rsid w:val="00BD09E1"/>
    <w:rsid w:val="00BD117B"/>
    <w:rsid w:val="00BD166C"/>
    <w:rsid w:val="00BD228C"/>
    <w:rsid w:val="00BD24B9"/>
    <w:rsid w:val="00BD3EE7"/>
    <w:rsid w:val="00BD3F50"/>
    <w:rsid w:val="00BD4505"/>
    <w:rsid w:val="00BD5AE6"/>
    <w:rsid w:val="00BD5D76"/>
    <w:rsid w:val="00BD6004"/>
    <w:rsid w:val="00BD637C"/>
    <w:rsid w:val="00BD6419"/>
    <w:rsid w:val="00BD652C"/>
    <w:rsid w:val="00BD6AD1"/>
    <w:rsid w:val="00BD6B11"/>
    <w:rsid w:val="00BD7599"/>
    <w:rsid w:val="00BE037A"/>
    <w:rsid w:val="00BE05B0"/>
    <w:rsid w:val="00BE0775"/>
    <w:rsid w:val="00BE1664"/>
    <w:rsid w:val="00BE271F"/>
    <w:rsid w:val="00BE32EF"/>
    <w:rsid w:val="00BE39DB"/>
    <w:rsid w:val="00BE3F5F"/>
    <w:rsid w:val="00BE4457"/>
    <w:rsid w:val="00BE4C08"/>
    <w:rsid w:val="00BE53E3"/>
    <w:rsid w:val="00BE5658"/>
    <w:rsid w:val="00BE59F2"/>
    <w:rsid w:val="00BE6133"/>
    <w:rsid w:val="00BE62FE"/>
    <w:rsid w:val="00BE7417"/>
    <w:rsid w:val="00BF0574"/>
    <w:rsid w:val="00BF0E55"/>
    <w:rsid w:val="00BF1166"/>
    <w:rsid w:val="00BF11D8"/>
    <w:rsid w:val="00BF2649"/>
    <w:rsid w:val="00BF3C52"/>
    <w:rsid w:val="00BF46DF"/>
    <w:rsid w:val="00BF4AE7"/>
    <w:rsid w:val="00BF505C"/>
    <w:rsid w:val="00BF544A"/>
    <w:rsid w:val="00BF56E3"/>
    <w:rsid w:val="00BF5730"/>
    <w:rsid w:val="00BF686D"/>
    <w:rsid w:val="00BF68E3"/>
    <w:rsid w:val="00BF6F4B"/>
    <w:rsid w:val="00BF7406"/>
    <w:rsid w:val="00C019CD"/>
    <w:rsid w:val="00C01FE7"/>
    <w:rsid w:val="00C02849"/>
    <w:rsid w:val="00C03D78"/>
    <w:rsid w:val="00C045F9"/>
    <w:rsid w:val="00C04A55"/>
    <w:rsid w:val="00C04D4A"/>
    <w:rsid w:val="00C0581B"/>
    <w:rsid w:val="00C06D8C"/>
    <w:rsid w:val="00C070C6"/>
    <w:rsid w:val="00C0777C"/>
    <w:rsid w:val="00C1055E"/>
    <w:rsid w:val="00C10A35"/>
    <w:rsid w:val="00C11213"/>
    <w:rsid w:val="00C11249"/>
    <w:rsid w:val="00C12B22"/>
    <w:rsid w:val="00C12DEA"/>
    <w:rsid w:val="00C13A97"/>
    <w:rsid w:val="00C20A9C"/>
    <w:rsid w:val="00C20B99"/>
    <w:rsid w:val="00C22663"/>
    <w:rsid w:val="00C22A80"/>
    <w:rsid w:val="00C23C12"/>
    <w:rsid w:val="00C26D9C"/>
    <w:rsid w:val="00C276FC"/>
    <w:rsid w:val="00C27AC1"/>
    <w:rsid w:val="00C3020F"/>
    <w:rsid w:val="00C30A01"/>
    <w:rsid w:val="00C30C17"/>
    <w:rsid w:val="00C30E5E"/>
    <w:rsid w:val="00C313B6"/>
    <w:rsid w:val="00C31D61"/>
    <w:rsid w:val="00C32077"/>
    <w:rsid w:val="00C32085"/>
    <w:rsid w:val="00C32B84"/>
    <w:rsid w:val="00C32E20"/>
    <w:rsid w:val="00C33319"/>
    <w:rsid w:val="00C339DB"/>
    <w:rsid w:val="00C34105"/>
    <w:rsid w:val="00C34D41"/>
    <w:rsid w:val="00C350B6"/>
    <w:rsid w:val="00C354AC"/>
    <w:rsid w:val="00C358B8"/>
    <w:rsid w:val="00C3595D"/>
    <w:rsid w:val="00C35E3C"/>
    <w:rsid w:val="00C35EC7"/>
    <w:rsid w:val="00C3791E"/>
    <w:rsid w:val="00C4012C"/>
    <w:rsid w:val="00C41120"/>
    <w:rsid w:val="00C41E0E"/>
    <w:rsid w:val="00C43321"/>
    <w:rsid w:val="00C43504"/>
    <w:rsid w:val="00C43547"/>
    <w:rsid w:val="00C44518"/>
    <w:rsid w:val="00C44AA1"/>
    <w:rsid w:val="00C451E8"/>
    <w:rsid w:val="00C4709D"/>
    <w:rsid w:val="00C47130"/>
    <w:rsid w:val="00C47B77"/>
    <w:rsid w:val="00C51144"/>
    <w:rsid w:val="00C518E2"/>
    <w:rsid w:val="00C52092"/>
    <w:rsid w:val="00C52EC5"/>
    <w:rsid w:val="00C56E3F"/>
    <w:rsid w:val="00C57A9A"/>
    <w:rsid w:val="00C617B9"/>
    <w:rsid w:val="00C61AC4"/>
    <w:rsid w:val="00C624F0"/>
    <w:rsid w:val="00C62DB4"/>
    <w:rsid w:val="00C633AB"/>
    <w:rsid w:val="00C6455E"/>
    <w:rsid w:val="00C6523F"/>
    <w:rsid w:val="00C65400"/>
    <w:rsid w:val="00C65B66"/>
    <w:rsid w:val="00C6611D"/>
    <w:rsid w:val="00C6753D"/>
    <w:rsid w:val="00C70F6D"/>
    <w:rsid w:val="00C7119D"/>
    <w:rsid w:val="00C7186C"/>
    <w:rsid w:val="00C71A78"/>
    <w:rsid w:val="00C72002"/>
    <w:rsid w:val="00C723C0"/>
    <w:rsid w:val="00C72BF1"/>
    <w:rsid w:val="00C74075"/>
    <w:rsid w:val="00C76958"/>
    <w:rsid w:val="00C76D65"/>
    <w:rsid w:val="00C7776C"/>
    <w:rsid w:val="00C8085B"/>
    <w:rsid w:val="00C81109"/>
    <w:rsid w:val="00C8148F"/>
    <w:rsid w:val="00C81BDC"/>
    <w:rsid w:val="00C820E6"/>
    <w:rsid w:val="00C8334D"/>
    <w:rsid w:val="00C83AE0"/>
    <w:rsid w:val="00C84622"/>
    <w:rsid w:val="00C847BD"/>
    <w:rsid w:val="00C84895"/>
    <w:rsid w:val="00C84E52"/>
    <w:rsid w:val="00C86199"/>
    <w:rsid w:val="00C86504"/>
    <w:rsid w:val="00C90BDE"/>
    <w:rsid w:val="00C913F4"/>
    <w:rsid w:val="00C91420"/>
    <w:rsid w:val="00C91C37"/>
    <w:rsid w:val="00C94E67"/>
    <w:rsid w:val="00C953D4"/>
    <w:rsid w:val="00C95D7F"/>
    <w:rsid w:val="00C96865"/>
    <w:rsid w:val="00C96CA5"/>
    <w:rsid w:val="00C975F5"/>
    <w:rsid w:val="00CA03CE"/>
    <w:rsid w:val="00CA055A"/>
    <w:rsid w:val="00CA0576"/>
    <w:rsid w:val="00CA15DF"/>
    <w:rsid w:val="00CA1844"/>
    <w:rsid w:val="00CA6126"/>
    <w:rsid w:val="00CA682A"/>
    <w:rsid w:val="00CB053E"/>
    <w:rsid w:val="00CB0773"/>
    <w:rsid w:val="00CB0F5B"/>
    <w:rsid w:val="00CB1221"/>
    <w:rsid w:val="00CB17C0"/>
    <w:rsid w:val="00CB1ECE"/>
    <w:rsid w:val="00CB25A8"/>
    <w:rsid w:val="00CB2EC2"/>
    <w:rsid w:val="00CB3FB5"/>
    <w:rsid w:val="00CB40AF"/>
    <w:rsid w:val="00CB4CF7"/>
    <w:rsid w:val="00CB5091"/>
    <w:rsid w:val="00CB574D"/>
    <w:rsid w:val="00CB5931"/>
    <w:rsid w:val="00CB5CA8"/>
    <w:rsid w:val="00CB6336"/>
    <w:rsid w:val="00CB71CE"/>
    <w:rsid w:val="00CB7929"/>
    <w:rsid w:val="00CB7A36"/>
    <w:rsid w:val="00CB7CA0"/>
    <w:rsid w:val="00CC04B1"/>
    <w:rsid w:val="00CC1D60"/>
    <w:rsid w:val="00CC1F4B"/>
    <w:rsid w:val="00CC222A"/>
    <w:rsid w:val="00CC2677"/>
    <w:rsid w:val="00CC2C5A"/>
    <w:rsid w:val="00CC3218"/>
    <w:rsid w:val="00CC477B"/>
    <w:rsid w:val="00CC4EB1"/>
    <w:rsid w:val="00CC6122"/>
    <w:rsid w:val="00CC613C"/>
    <w:rsid w:val="00CC7422"/>
    <w:rsid w:val="00CD0320"/>
    <w:rsid w:val="00CD1CF4"/>
    <w:rsid w:val="00CD1FEA"/>
    <w:rsid w:val="00CD29DF"/>
    <w:rsid w:val="00CD2C0C"/>
    <w:rsid w:val="00CD320E"/>
    <w:rsid w:val="00CD3982"/>
    <w:rsid w:val="00CD41AA"/>
    <w:rsid w:val="00CD512D"/>
    <w:rsid w:val="00CD5374"/>
    <w:rsid w:val="00CD5BAA"/>
    <w:rsid w:val="00CD74F4"/>
    <w:rsid w:val="00CE0007"/>
    <w:rsid w:val="00CE14B5"/>
    <w:rsid w:val="00CE24AD"/>
    <w:rsid w:val="00CE3452"/>
    <w:rsid w:val="00CE36C7"/>
    <w:rsid w:val="00CE396F"/>
    <w:rsid w:val="00CE473D"/>
    <w:rsid w:val="00CE5E1D"/>
    <w:rsid w:val="00CE6684"/>
    <w:rsid w:val="00CE6A15"/>
    <w:rsid w:val="00CE7451"/>
    <w:rsid w:val="00CE7C59"/>
    <w:rsid w:val="00CF008D"/>
    <w:rsid w:val="00CF09EE"/>
    <w:rsid w:val="00CF0DD4"/>
    <w:rsid w:val="00CF10A1"/>
    <w:rsid w:val="00CF1668"/>
    <w:rsid w:val="00CF1BD3"/>
    <w:rsid w:val="00CF22AD"/>
    <w:rsid w:val="00CF3136"/>
    <w:rsid w:val="00CF43C2"/>
    <w:rsid w:val="00CF4F42"/>
    <w:rsid w:val="00CF4FF4"/>
    <w:rsid w:val="00CF5588"/>
    <w:rsid w:val="00CF5F7B"/>
    <w:rsid w:val="00CF6EFA"/>
    <w:rsid w:val="00CF7A12"/>
    <w:rsid w:val="00CF7F32"/>
    <w:rsid w:val="00D0026C"/>
    <w:rsid w:val="00D006BB"/>
    <w:rsid w:val="00D00B1F"/>
    <w:rsid w:val="00D00FC9"/>
    <w:rsid w:val="00D01740"/>
    <w:rsid w:val="00D02052"/>
    <w:rsid w:val="00D0553A"/>
    <w:rsid w:val="00D06B7A"/>
    <w:rsid w:val="00D076B7"/>
    <w:rsid w:val="00D07CB8"/>
    <w:rsid w:val="00D116E5"/>
    <w:rsid w:val="00D122FC"/>
    <w:rsid w:val="00D1246D"/>
    <w:rsid w:val="00D13AF2"/>
    <w:rsid w:val="00D13C78"/>
    <w:rsid w:val="00D14046"/>
    <w:rsid w:val="00D14706"/>
    <w:rsid w:val="00D14E02"/>
    <w:rsid w:val="00D14F35"/>
    <w:rsid w:val="00D15003"/>
    <w:rsid w:val="00D15B17"/>
    <w:rsid w:val="00D16198"/>
    <w:rsid w:val="00D16BD9"/>
    <w:rsid w:val="00D2151A"/>
    <w:rsid w:val="00D21A1B"/>
    <w:rsid w:val="00D2295E"/>
    <w:rsid w:val="00D2329F"/>
    <w:rsid w:val="00D23C3E"/>
    <w:rsid w:val="00D245A8"/>
    <w:rsid w:val="00D245E3"/>
    <w:rsid w:val="00D24D89"/>
    <w:rsid w:val="00D250B3"/>
    <w:rsid w:val="00D27DB1"/>
    <w:rsid w:val="00D31CBE"/>
    <w:rsid w:val="00D32158"/>
    <w:rsid w:val="00D32449"/>
    <w:rsid w:val="00D33028"/>
    <w:rsid w:val="00D33172"/>
    <w:rsid w:val="00D3382B"/>
    <w:rsid w:val="00D33C46"/>
    <w:rsid w:val="00D340E2"/>
    <w:rsid w:val="00D351B1"/>
    <w:rsid w:val="00D35855"/>
    <w:rsid w:val="00D3605D"/>
    <w:rsid w:val="00D41917"/>
    <w:rsid w:val="00D41963"/>
    <w:rsid w:val="00D424EB"/>
    <w:rsid w:val="00D429A5"/>
    <w:rsid w:val="00D44638"/>
    <w:rsid w:val="00D5078E"/>
    <w:rsid w:val="00D50D62"/>
    <w:rsid w:val="00D50F31"/>
    <w:rsid w:val="00D51379"/>
    <w:rsid w:val="00D51505"/>
    <w:rsid w:val="00D515CB"/>
    <w:rsid w:val="00D52524"/>
    <w:rsid w:val="00D52D5E"/>
    <w:rsid w:val="00D53415"/>
    <w:rsid w:val="00D5474D"/>
    <w:rsid w:val="00D55540"/>
    <w:rsid w:val="00D55F27"/>
    <w:rsid w:val="00D57DBB"/>
    <w:rsid w:val="00D60083"/>
    <w:rsid w:val="00D60475"/>
    <w:rsid w:val="00D61AF8"/>
    <w:rsid w:val="00D632E1"/>
    <w:rsid w:val="00D63717"/>
    <w:rsid w:val="00D63F15"/>
    <w:rsid w:val="00D64897"/>
    <w:rsid w:val="00D66BBE"/>
    <w:rsid w:val="00D66C9C"/>
    <w:rsid w:val="00D678A8"/>
    <w:rsid w:val="00D67CFA"/>
    <w:rsid w:val="00D67DE1"/>
    <w:rsid w:val="00D7005A"/>
    <w:rsid w:val="00D70FF7"/>
    <w:rsid w:val="00D71034"/>
    <w:rsid w:val="00D71DC2"/>
    <w:rsid w:val="00D7206A"/>
    <w:rsid w:val="00D72718"/>
    <w:rsid w:val="00D74476"/>
    <w:rsid w:val="00D749CD"/>
    <w:rsid w:val="00D74FBA"/>
    <w:rsid w:val="00D75024"/>
    <w:rsid w:val="00D75040"/>
    <w:rsid w:val="00D7546A"/>
    <w:rsid w:val="00D76877"/>
    <w:rsid w:val="00D76A62"/>
    <w:rsid w:val="00D777C8"/>
    <w:rsid w:val="00D77825"/>
    <w:rsid w:val="00D81FAD"/>
    <w:rsid w:val="00D82BFE"/>
    <w:rsid w:val="00D852E4"/>
    <w:rsid w:val="00D859F8"/>
    <w:rsid w:val="00D86084"/>
    <w:rsid w:val="00D8696B"/>
    <w:rsid w:val="00D86C08"/>
    <w:rsid w:val="00D86C0C"/>
    <w:rsid w:val="00D86CA0"/>
    <w:rsid w:val="00D86D00"/>
    <w:rsid w:val="00D870DF"/>
    <w:rsid w:val="00D907B5"/>
    <w:rsid w:val="00D9335D"/>
    <w:rsid w:val="00D934B6"/>
    <w:rsid w:val="00D9445C"/>
    <w:rsid w:val="00D9448E"/>
    <w:rsid w:val="00D94894"/>
    <w:rsid w:val="00D94C5F"/>
    <w:rsid w:val="00D9545A"/>
    <w:rsid w:val="00D95C2E"/>
    <w:rsid w:val="00D96782"/>
    <w:rsid w:val="00D973DA"/>
    <w:rsid w:val="00DA13FA"/>
    <w:rsid w:val="00DA1EDF"/>
    <w:rsid w:val="00DA2F80"/>
    <w:rsid w:val="00DA32A1"/>
    <w:rsid w:val="00DA3AC9"/>
    <w:rsid w:val="00DA3CDD"/>
    <w:rsid w:val="00DA459C"/>
    <w:rsid w:val="00DA46C8"/>
    <w:rsid w:val="00DA4B6D"/>
    <w:rsid w:val="00DA4E7E"/>
    <w:rsid w:val="00DA5010"/>
    <w:rsid w:val="00DA76B8"/>
    <w:rsid w:val="00DB0A3D"/>
    <w:rsid w:val="00DB0C21"/>
    <w:rsid w:val="00DB0EA8"/>
    <w:rsid w:val="00DB15C6"/>
    <w:rsid w:val="00DB1797"/>
    <w:rsid w:val="00DB2AE1"/>
    <w:rsid w:val="00DB32F9"/>
    <w:rsid w:val="00DB43D1"/>
    <w:rsid w:val="00DB5052"/>
    <w:rsid w:val="00DB50AD"/>
    <w:rsid w:val="00DB5125"/>
    <w:rsid w:val="00DB5E76"/>
    <w:rsid w:val="00DB7B4A"/>
    <w:rsid w:val="00DB7B87"/>
    <w:rsid w:val="00DB7ED7"/>
    <w:rsid w:val="00DC0A84"/>
    <w:rsid w:val="00DC11C7"/>
    <w:rsid w:val="00DC14EA"/>
    <w:rsid w:val="00DC3E30"/>
    <w:rsid w:val="00DC64A6"/>
    <w:rsid w:val="00DC65DE"/>
    <w:rsid w:val="00DC76DE"/>
    <w:rsid w:val="00DC7C8D"/>
    <w:rsid w:val="00DD0193"/>
    <w:rsid w:val="00DD12B5"/>
    <w:rsid w:val="00DD1A2C"/>
    <w:rsid w:val="00DD34EE"/>
    <w:rsid w:val="00DD544C"/>
    <w:rsid w:val="00DD6631"/>
    <w:rsid w:val="00DD6AAA"/>
    <w:rsid w:val="00DD7950"/>
    <w:rsid w:val="00DD7BEF"/>
    <w:rsid w:val="00DE0A4D"/>
    <w:rsid w:val="00DE1032"/>
    <w:rsid w:val="00DE1212"/>
    <w:rsid w:val="00DE1C4F"/>
    <w:rsid w:val="00DE2295"/>
    <w:rsid w:val="00DE2BC3"/>
    <w:rsid w:val="00DE43F6"/>
    <w:rsid w:val="00DE4D1B"/>
    <w:rsid w:val="00DE586A"/>
    <w:rsid w:val="00DE7092"/>
    <w:rsid w:val="00DF070C"/>
    <w:rsid w:val="00DF0B1C"/>
    <w:rsid w:val="00DF113B"/>
    <w:rsid w:val="00DF1DDD"/>
    <w:rsid w:val="00DF1F2C"/>
    <w:rsid w:val="00DF24E8"/>
    <w:rsid w:val="00DF2A62"/>
    <w:rsid w:val="00DF314E"/>
    <w:rsid w:val="00DF3375"/>
    <w:rsid w:val="00DF6474"/>
    <w:rsid w:val="00DF7044"/>
    <w:rsid w:val="00DF7E17"/>
    <w:rsid w:val="00E002BD"/>
    <w:rsid w:val="00E00C5C"/>
    <w:rsid w:val="00E00F6B"/>
    <w:rsid w:val="00E01061"/>
    <w:rsid w:val="00E01173"/>
    <w:rsid w:val="00E01204"/>
    <w:rsid w:val="00E01ECB"/>
    <w:rsid w:val="00E01F82"/>
    <w:rsid w:val="00E0243C"/>
    <w:rsid w:val="00E02FAC"/>
    <w:rsid w:val="00E03F74"/>
    <w:rsid w:val="00E04097"/>
    <w:rsid w:val="00E040CF"/>
    <w:rsid w:val="00E047D5"/>
    <w:rsid w:val="00E064F3"/>
    <w:rsid w:val="00E074EE"/>
    <w:rsid w:val="00E07D77"/>
    <w:rsid w:val="00E07EF8"/>
    <w:rsid w:val="00E10E37"/>
    <w:rsid w:val="00E12A88"/>
    <w:rsid w:val="00E15683"/>
    <w:rsid w:val="00E157BE"/>
    <w:rsid w:val="00E15B8B"/>
    <w:rsid w:val="00E1696C"/>
    <w:rsid w:val="00E17926"/>
    <w:rsid w:val="00E20B80"/>
    <w:rsid w:val="00E218D5"/>
    <w:rsid w:val="00E21B52"/>
    <w:rsid w:val="00E2385D"/>
    <w:rsid w:val="00E24828"/>
    <w:rsid w:val="00E24A54"/>
    <w:rsid w:val="00E24BD3"/>
    <w:rsid w:val="00E2506A"/>
    <w:rsid w:val="00E2709A"/>
    <w:rsid w:val="00E3092F"/>
    <w:rsid w:val="00E31687"/>
    <w:rsid w:val="00E326F4"/>
    <w:rsid w:val="00E332FD"/>
    <w:rsid w:val="00E340A3"/>
    <w:rsid w:val="00E3448B"/>
    <w:rsid w:val="00E35309"/>
    <w:rsid w:val="00E3622D"/>
    <w:rsid w:val="00E36AA2"/>
    <w:rsid w:val="00E37494"/>
    <w:rsid w:val="00E37D61"/>
    <w:rsid w:val="00E40134"/>
    <w:rsid w:val="00E402D2"/>
    <w:rsid w:val="00E4068D"/>
    <w:rsid w:val="00E42772"/>
    <w:rsid w:val="00E427F6"/>
    <w:rsid w:val="00E43A08"/>
    <w:rsid w:val="00E43F17"/>
    <w:rsid w:val="00E44700"/>
    <w:rsid w:val="00E45FC5"/>
    <w:rsid w:val="00E509F5"/>
    <w:rsid w:val="00E5110F"/>
    <w:rsid w:val="00E52853"/>
    <w:rsid w:val="00E52F06"/>
    <w:rsid w:val="00E535B5"/>
    <w:rsid w:val="00E536CD"/>
    <w:rsid w:val="00E5414F"/>
    <w:rsid w:val="00E548A4"/>
    <w:rsid w:val="00E55396"/>
    <w:rsid w:val="00E554FC"/>
    <w:rsid w:val="00E55A39"/>
    <w:rsid w:val="00E56850"/>
    <w:rsid w:val="00E57B2B"/>
    <w:rsid w:val="00E57D55"/>
    <w:rsid w:val="00E60EB5"/>
    <w:rsid w:val="00E62A6E"/>
    <w:rsid w:val="00E6307C"/>
    <w:rsid w:val="00E6349C"/>
    <w:rsid w:val="00E63C57"/>
    <w:rsid w:val="00E63DBA"/>
    <w:rsid w:val="00E64FB3"/>
    <w:rsid w:val="00E652E2"/>
    <w:rsid w:val="00E65CB7"/>
    <w:rsid w:val="00E66942"/>
    <w:rsid w:val="00E671D9"/>
    <w:rsid w:val="00E67FE2"/>
    <w:rsid w:val="00E723B2"/>
    <w:rsid w:val="00E72859"/>
    <w:rsid w:val="00E731CE"/>
    <w:rsid w:val="00E7353A"/>
    <w:rsid w:val="00E735EB"/>
    <w:rsid w:val="00E74352"/>
    <w:rsid w:val="00E7471A"/>
    <w:rsid w:val="00E749D6"/>
    <w:rsid w:val="00E75493"/>
    <w:rsid w:val="00E75CC1"/>
    <w:rsid w:val="00E75E7D"/>
    <w:rsid w:val="00E77CCF"/>
    <w:rsid w:val="00E8061C"/>
    <w:rsid w:val="00E82B55"/>
    <w:rsid w:val="00E83ED5"/>
    <w:rsid w:val="00E841E1"/>
    <w:rsid w:val="00E849E2"/>
    <w:rsid w:val="00E87190"/>
    <w:rsid w:val="00E916B5"/>
    <w:rsid w:val="00E92DE6"/>
    <w:rsid w:val="00E94666"/>
    <w:rsid w:val="00E97990"/>
    <w:rsid w:val="00EA10C7"/>
    <w:rsid w:val="00EA1760"/>
    <w:rsid w:val="00EA1DB0"/>
    <w:rsid w:val="00EA1EBC"/>
    <w:rsid w:val="00EA2134"/>
    <w:rsid w:val="00EA2D39"/>
    <w:rsid w:val="00EA3289"/>
    <w:rsid w:val="00EA3B07"/>
    <w:rsid w:val="00EA478D"/>
    <w:rsid w:val="00EA4C3E"/>
    <w:rsid w:val="00EA4EFE"/>
    <w:rsid w:val="00EA5D0C"/>
    <w:rsid w:val="00EA681D"/>
    <w:rsid w:val="00EA7F0E"/>
    <w:rsid w:val="00EB083D"/>
    <w:rsid w:val="00EB1421"/>
    <w:rsid w:val="00EB2040"/>
    <w:rsid w:val="00EB2423"/>
    <w:rsid w:val="00EB265A"/>
    <w:rsid w:val="00EB2EF1"/>
    <w:rsid w:val="00EB315D"/>
    <w:rsid w:val="00EB33B0"/>
    <w:rsid w:val="00EB47A2"/>
    <w:rsid w:val="00EB4AEE"/>
    <w:rsid w:val="00EB506D"/>
    <w:rsid w:val="00EB5B50"/>
    <w:rsid w:val="00EB5E33"/>
    <w:rsid w:val="00EB601A"/>
    <w:rsid w:val="00EB6082"/>
    <w:rsid w:val="00EB6A8D"/>
    <w:rsid w:val="00EC0FD9"/>
    <w:rsid w:val="00EC160A"/>
    <w:rsid w:val="00EC389B"/>
    <w:rsid w:val="00EC3F8D"/>
    <w:rsid w:val="00EC4C5F"/>
    <w:rsid w:val="00EC5070"/>
    <w:rsid w:val="00EC621B"/>
    <w:rsid w:val="00EC68EC"/>
    <w:rsid w:val="00EC6959"/>
    <w:rsid w:val="00EC6D88"/>
    <w:rsid w:val="00EC75EA"/>
    <w:rsid w:val="00ED0491"/>
    <w:rsid w:val="00ED0BC6"/>
    <w:rsid w:val="00ED172C"/>
    <w:rsid w:val="00ED1B4B"/>
    <w:rsid w:val="00ED2274"/>
    <w:rsid w:val="00ED2DE2"/>
    <w:rsid w:val="00ED4E3E"/>
    <w:rsid w:val="00ED4E5F"/>
    <w:rsid w:val="00ED58AD"/>
    <w:rsid w:val="00ED627D"/>
    <w:rsid w:val="00ED71F2"/>
    <w:rsid w:val="00ED71F5"/>
    <w:rsid w:val="00ED75AA"/>
    <w:rsid w:val="00ED7A5B"/>
    <w:rsid w:val="00ED7B50"/>
    <w:rsid w:val="00ED7E81"/>
    <w:rsid w:val="00EE02ED"/>
    <w:rsid w:val="00EE086B"/>
    <w:rsid w:val="00EE2878"/>
    <w:rsid w:val="00EE3E7D"/>
    <w:rsid w:val="00EE5058"/>
    <w:rsid w:val="00EE52AE"/>
    <w:rsid w:val="00EE5C58"/>
    <w:rsid w:val="00EE6032"/>
    <w:rsid w:val="00EE7693"/>
    <w:rsid w:val="00EE77D7"/>
    <w:rsid w:val="00EF0018"/>
    <w:rsid w:val="00EF07C2"/>
    <w:rsid w:val="00EF1786"/>
    <w:rsid w:val="00EF1BBA"/>
    <w:rsid w:val="00EF1CB6"/>
    <w:rsid w:val="00EF2893"/>
    <w:rsid w:val="00EF2EA2"/>
    <w:rsid w:val="00EF3649"/>
    <w:rsid w:val="00EF3D91"/>
    <w:rsid w:val="00EF3ED6"/>
    <w:rsid w:val="00EF4A04"/>
    <w:rsid w:val="00EF4D9C"/>
    <w:rsid w:val="00EF4F8E"/>
    <w:rsid w:val="00EF5C89"/>
    <w:rsid w:val="00EF5FD3"/>
    <w:rsid w:val="00F003E5"/>
    <w:rsid w:val="00F00DD3"/>
    <w:rsid w:val="00F026ED"/>
    <w:rsid w:val="00F03298"/>
    <w:rsid w:val="00F047AA"/>
    <w:rsid w:val="00F04C93"/>
    <w:rsid w:val="00F05346"/>
    <w:rsid w:val="00F05D4A"/>
    <w:rsid w:val="00F05DC1"/>
    <w:rsid w:val="00F0755C"/>
    <w:rsid w:val="00F07FAB"/>
    <w:rsid w:val="00F10DAB"/>
    <w:rsid w:val="00F1109B"/>
    <w:rsid w:val="00F121F2"/>
    <w:rsid w:val="00F1329D"/>
    <w:rsid w:val="00F15A86"/>
    <w:rsid w:val="00F16A5C"/>
    <w:rsid w:val="00F16EB4"/>
    <w:rsid w:val="00F179C3"/>
    <w:rsid w:val="00F200E7"/>
    <w:rsid w:val="00F20338"/>
    <w:rsid w:val="00F20623"/>
    <w:rsid w:val="00F206DC"/>
    <w:rsid w:val="00F2115D"/>
    <w:rsid w:val="00F224D4"/>
    <w:rsid w:val="00F22D7C"/>
    <w:rsid w:val="00F24483"/>
    <w:rsid w:val="00F248BE"/>
    <w:rsid w:val="00F24AD8"/>
    <w:rsid w:val="00F260C1"/>
    <w:rsid w:val="00F26411"/>
    <w:rsid w:val="00F270C7"/>
    <w:rsid w:val="00F272B3"/>
    <w:rsid w:val="00F272E8"/>
    <w:rsid w:val="00F27338"/>
    <w:rsid w:val="00F27982"/>
    <w:rsid w:val="00F304FB"/>
    <w:rsid w:val="00F3064E"/>
    <w:rsid w:val="00F318A8"/>
    <w:rsid w:val="00F3191E"/>
    <w:rsid w:val="00F31B70"/>
    <w:rsid w:val="00F31BB0"/>
    <w:rsid w:val="00F3331B"/>
    <w:rsid w:val="00F33483"/>
    <w:rsid w:val="00F33873"/>
    <w:rsid w:val="00F33DF3"/>
    <w:rsid w:val="00F343B7"/>
    <w:rsid w:val="00F36CE3"/>
    <w:rsid w:val="00F36F3D"/>
    <w:rsid w:val="00F37688"/>
    <w:rsid w:val="00F37F2F"/>
    <w:rsid w:val="00F4066F"/>
    <w:rsid w:val="00F41099"/>
    <w:rsid w:val="00F41CF6"/>
    <w:rsid w:val="00F4223F"/>
    <w:rsid w:val="00F4544A"/>
    <w:rsid w:val="00F45BA1"/>
    <w:rsid w:val="00F4614C"/>
    <w:rsid w:val="00F462E4"/>
    <w:rsid w:val="00F4655F"/>
    <w:rsid w:val="00F46717"/>
    <w:rsid w:val="00F46F88"/>
    <w:rsid w:val="00F4760B"/>
    <w:rsid w:val="00F50E5A"/>
    <w:rsid w:val="00F528EB"/>
    <w:rsid w:val="00F52A52"/>
    <w:rsid w:val="00F5327C"/>
    <w:rsid w:val="00F53619"/>
    <w:rsid w:val="00F53AC7"/>
    <w:rsid w:val="00F5419C"/>
    <w:rsid w:val="00F54534"/>
    <w:rsid w:val="00F546BD"/>
    <w:rsid w:val="00F550B4"/>
    <w:rsid w:val="00F55249"/>
    <w:rsid w:val="00F5578E"/>
    <w:rsid w:val="00F55B36"/>
    <w:rsid w:val="00F56313"/>
    <w:rsid w:val="00F600D4"/>
    <w:rsid w:val="00F60281"/>
    <w:rsid w:val="00F62245"/>
    <w:rsid w:val="00F62C8F"/>
    <w:rsid w:val="00F62CB6"/>
    <w:rsid w:val="00F6309F"/>
    <w:rsid w:val="00F6410B"/>
    <w:rsid w:val="00F64386"/>
    <w:rsid w:val="00F661E6"/>
    <w:rsid w:val="00F6745D"/>
    <w:rsid w:val="00F67C18"/>
    <w:rsid w:val="00F70281"/>
    <w:rsid w:val="00F70B12"/>
    <w:rsid w:val="00F71485"/>
    <w:rsid w:val="00F72B51"/>
    <w:rsid w:val="00F73915"/>
    <w:rsid w:val="00F74174"/>
    <w:rsid w:val="00F743FE"/>
    <w:rsid w:val="00F74EBE"/>
    <w:rsid w:val="00F75A3B"/>
    <w:rsid w:val="00F76CA4"/>
    <w:rsid w:val="00F76F5B"/>
    <w:rsid w:val="00F80852"/>
    <w:rsid w:val="00F80FAB"/>
    <w:rsid w:val="00F81B59"/>
    <w:rsid w:val="00F825B6"/>
    <w:rsid w:val="00F82D93"/>
    <w:rsid w:val="00F833EF"/>
    <w:rsid w:val="00F8344D"/>
    <w:rsid w:val="00F83790"/>
    <w:rsid w:val="00F837CE"/>
    <w:rsid w:val="00F83F72"/>
    <w:rsid w:val="00F849BD"/>
    <w:rsid w:val="00F84AB8"/>
    <w:rsid w:val="00F85FEB"/>
    <w:rsid w:val="00F86330"/>
    <w:rsid w:val="00F86407"/>
    <w:rsid w:val="00F869A5"/>
    <w:rsid w:val="00F86D95"/>
    <w:rsid w:val="00F874EF"/>
    <w:rsid w:val="00F90A63"/>
    <w:rsid w:val="00F90CED"/>
    <w:rsid w:val="00F90EBC"/>
    <w:rsid w:val="00F91374"/>
    <w:rsid w:val="00F92306"/>
    <w:rsid w:val="00F93AC8"/>
    <w:rsid w:val="00F93EA8"/>
    <w:rsid w:val="00F95E41"/>
    <w:rsid w:val="00F96471"/>
    <w:rsid w:val="00F97255"/>
    <w:rsid w:val="00FA13EC"/>
    <w:rsid w:val="00FA1FAB"/>
    <w:rsid w:val="00FA209C"/>
    <w:rsid w:val="00FA22B2"/>
    <w:rsid w:val="00FA2945"/>
    <w:rsid w:val="00FA5170"/>
    <w:rsid w:val="00FA5AA9"/>
    <w:rsid w:val="00FA5AC7"/>
    <w:rsid w:val="00FA68C5"/>
    <w:rsid w:val="00FA69A7"/>
    <w:rsid w:val="00FA7224"/>
    <w:rsid w:val="00FA75EF"/>
    <w:rsid w:val="00FB0FEB"/>
    <w:rsid w:val="00FB11FF"/>
    <w:rsid w:val="00FB2808"/>
    <w:rsid w:val="00FB29EC"/>
    <w:rsid w:val="00FB3CB8"/>
    <w:rsid w:val="00FB4067"/>
    <w:rsid w:val="00FB523A"/>
    <w:rsid w:val="00FB5C82"/>
    <w:rsid w:val="00FB6420"/>
    <w:rsid w:val="00FC2B73"/>
    <w:rsid w:val="00FC32C1"/>
    <w:rsid w:val="00FC375F"/>
    <w:rsid w:val="00FC3B3F"/>
    <w:rsid w:val="00FC4A63"/>
    <w:rsid w:val="00FC4B34"/>
    <w:rsid w:val="00FC6CBB"/>
    <w:rsid w:val="00FC7296"/>
    <w:rsid w:val="00FC7996"/>
    <w:rsid w:val="00FC7B24"/>
    <w:rsid w:val="00FD0C5D"/>
    <w:rsid w:val="00FD176C"/>
    <w:rsid w:val="00FD21CE"/>
    <w:rsid w:val="00FD2550"/>
    <w:rsid w:val="00FD2835"/>
    <w:rsid w:val="00FD30FF"/>
    <w:rsid w:val="00FD3160"/>
    <w:rsid w:val="00FD31FB"/>
    <w:rsid w:val="00FD3770"/>
    <w:rsid w:val="00FD3ABB"/>
    <w:rsid w:val="00FD4071"/>
    <w:rsid w:val="00FD4136"/>
    <w:rsid w:val="00FD4538"/>
    <w:rsid w:val="00FD50A4"/>
    <w:rsid w:val="00FD528A"/>
    <w:rsid w:val="00FD5D8F"/>
    <w:rsid w:val="00FD5F89"/>
    <w:rsid w:val="00FD656F"/>
    <w:rsid w:val="00FD6904"/>
    <w:rsid w:val="00FD7085"/>
    <w:rsid w:val="00FD7C1C"/>
    <w:rsid w:val="00FE1464"/>
    <w:rsid w:val="00FE17A5"/>
    <w:rsid w:val="00FE2813"/>
    <w:rsid w:val="00FE400F"/>
    <w:rsid w:val="00FE56F3"/>
    <w:rsid w:val="00FE5DC9"/>
    <w:rsid w:val="00FE6440"/>
    <w:rsid w:val="00FE6963"/>
    <w:rsid w:val="00FE7324"/>
    <w:rsid w:val="00FE78BF"/>
    <w:rsid w:val="00FE7E0A"/>
    <w:rsid w:val="00FE7FE9"/>
    <w:rsid w:val="00FF07B5"/>
    <w:rsid w:val="00FF094D"/>
    <w:rsid w:val="00FF2A90"/>
    <w:rsid w:val="00FF332A"/>
    <w:rsid w:val="00FF394C"/>
    <w:rsid w:val="00FF498A"/>
    <w:rsid w:val="00FF49A2"/>
    <w:rsid w:val="00FF6363"/>
    <w:rsid w:val="00FF71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4786"/>
  <w15:chartTrackingRefBased/>
  <w15:docId w15:val="{CA35FE7B-BFAD-4450-8C2C-A1977EBF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69B"/>
    <w:pPr>
      <w:widowControl w:val="0"/>
    </w:pPr>
    <w:rPr>
      <w:rFonts w:ascii="Courier New" w:eastAsia="Courier New" w:hAnsi="Courier New" w:cs="Courier New"/>
      <w:color w:val="000000"/>
      <w:kern w:val="0"/>
      <w:lang w:eastAsia="hr-HR" w:bidi="hr-HR"/>
      <w14:ligatures w14:val="none"/>
    </w:rPr>
  </w:style>
  <w:style w:type="paragraph" w:styleId="Heading5">
    <w:name w:val="heading 5"/>
    <w:basedOn w:val="Normal"/>
    <w:next w:val="Normal"/>
    <w:link w:val="Heading5Char"/>
    <w:uiPriority w:val="9"/>
    <w:unhideWhenUsed/>
    <w:qFormat/>
    <w:rsid w:val="00833AB8"/>
    <w:pPr>
      <w:keepNext/>
      <w:keepLines/>
      <w:widowControl/>
      <w:spacing w:before="80" w:after="40"/>
      <w:outlineLvl w:val="4"/>
    </w:pPr>
    <w:rPr>
      <w:rFonts w:ascii="Times New Roman" w:eastAsiaTheme="majorEastAsia" w:hAnsi="Times New Roman" w:cstheme="majorBidi"/>
      <w:i/>
      <w:color w:val="657C9C" w:themeColor="text2" w:themeTint="BF"/>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2A769B"/>
    <w:rPr>
      <w:rFonts w:eastAsia="Times New Roman"/>
      <w:sz w:val="20"/>
      <w:szCs w:val="20"/>
    </w:rPr>
  </w:style>
  <w:style w:type="character" w:customStyle="1" w:styleId="Bodytext4">
    <w:name w:val="Body text (4)_"/>
    <w:basedOn w:val="DefaultParagraphFont"/>
    <w:link w:val="Bodytext40"/>
    <w:rsid w:val="002A769B"/>
    <w:rPr>
      <w:rFonts w:ascii="Cambria" w:eastAsia="Cambria" w:hAnsi="Cambria" w:cs="Cambria"/>
      <w:color w:val="EBEBEB"/>
      <w:sz w:val="36"/>
      <w:szCs w:val="36"/>
    </w:rPr>
  </w:style>
  <w:style w:type="character" w:customStyle="1" w:styleId="Bodytext3">
    <w:name w:val="Body text (3)_"/>
    <w:basedOn w:val="DefaultParagraphFont"/>
    <w:link w:val="Bodytext30"/>
    <w:rsid w:val="002A769B"/>
    <w:rPr>
      <w:rFonts w:ascii="Cambria" w:eastAsia="Cambria" w:hAnsi="Cambria" w:cs="Cambria"/>
      <w:color w:val="EBEBEB"/>
      <w:sz w:val="52"/>
      <w:szCs w:val="52"/>
    </w:rPr>
  </w:style>
  <w:style w:type="character" w:customStyle="1" w:styleId="Bodytext6">
    <w:name w:val="Body text (6)_"/>
    <w:basedOn w:val="DefaultParagraphFont"/>
    <w:link w:val="Bodytext60"/>
    <w:rsid w:val="002A769B"/>
    <w:rPr>
      <w:rFonts w:ascii="Cambria" w:eastAsia="Cambria" w:hAnsi="Cambria" w:cs="Cambria"/>
      <w:i/>
      <w:iCs/>
      <w:color w:val="EBEBEB"/>
      <w:sz w:val="40"/>
      <w:szCs w:val="40"/>
    </w:rPr>
  </w:style>
  <w:style w:type="character" w:customStyle="1" w:styleId="BodyTextChar">
    <w:name w:val="Body Text Char"/>
    <w:basedOn w:val="DefaultParagraphFont"/>
    <w:link w:val="BodyText"/>
    <w:rsid w:val="002A769B"/>
    <w:rPr>
      <w:rFonts w:eastAsia="Times New Roman"/>
    </w:rPr>
  </w:style>
  <w:style w:type="character" w:customStyle="1" w:styleId="Headerorfooter2">
    <w:name w:val="Header or footer (2)_"/>
    <w:basedOn w:val="DefaultParagraphFont"/>
    <w:link w:val="Headerorfooter20"/>
    <w:rsid w:val="002A769B"/>
    <w:rPr>
      <w:rFonts w:eastAsia="Times New Roman"/>
      <w:sz w:val="20"/>
      <w:szCs w:val="20"/>
    </w:rPr>
  </w:style>
  <w:style w:type="character" w:customStyle="1" w:styleId="Bodytext2">
    <w:name w:val="Body text (2)_"/>
    <w:basedOn w:val="DefaultParagraphFont"/>
    <w:link w:val="Bodytext20"/>
    <w:rsid w:val="002A769B"/>
    <w:rPr>
      <w:rFonts w:eastAsia="Times New Roman"/>
      <w:b/>
      <w:bCs/>
      <w:sz w:val="28"/>
      <w:szCs w:val="28"/>
    </w:rPr>
  </w:style>
  <w:style w:type="character" w:customStyle="1" w:styleId="Picturecaption">
    <w:name w:val="Picture caption_"/>
    <w:basedOn w:val="DefaultParagraphFont"/>
    <w:link w:val="Picturecaption0"/>
    <w:rsid w:val="002A769B"/>
    <w:rPr>
      <w:rFonts w:eastAsia="Times New Roman"/>
      <w:b/>
      <w:bCs/>
      <w:sz w:val="22"/>
      <w:szCs w:val="22"/>
    </w:rPr>
  </w:style>
  <w:style w:type="character" w:customStyle="1" w:styleId="Tablecaption">
    <w:name w:val="Table caption_"/>
    <w:basedOn w:val="DefaultParagraphFont"/>
    <w:link w:val="Tablecaption0"/>
    <w:rsid w:val="002A769B"/>
    <w:rPr>
      <w:rFonts w:ascii="Calibri" w:eastAsia="Calibri" w:hAnsi="Calibri" w:cs="Calibri"/>
      <w:sz w:val="15"/>
      <w:szCs w:val="15"/>
    </w:rPr>
  </w:style>
  <w:style w:type="character" w:customStyle="1" w:styleId="Other">
    <w:name w:val="Other_"/>
    <w:basedOn w:val="DefaultParagraphFont"/>
    <w:link w:val="Other0"/>
    <w:rsid w:val="002A769B"/>
    <w:rPr>
      <w:rFonts w:ascii="Calibri" w:eastAsia="Calibri" w:hAnsi="Calibri" w:cs="Calibri"/>
      <w:sz w:val="19"/>
      <w:szCs w:val="19"/>
    </w:rPr>
  </w:style>
  <w:style w:type="character" w:customStyle="1" w:styleId="Bodytext5">
    <w:name w:val="Body text (5)_"/>
    <w:basedOn w:val="DefaultParagraphFont"/>
    <w:link w:val="Bodytext50"/>
    <w:rsid w:val="002A769B"/>
    <w:rPr>
      <w:rFonts w:eastAsia="Times New Roman"/>
      <w:i/>
      <w:iCs/>
      <w:sz w:val="18"/>
      <w:szCs w:val="18"/>
    </w:rPr>
  </w:style>
  <w:style w:type="character" w:customStyle="1" w:styleId="Heading1">
    <w:name w:val="Heading #1_"/>
    <w:basedOn w:val="DefaultParagraphFont"/>
    <w:link w:val="Heading10"/>
    <w:rsid w:val="002A769B"/>
    <w:rPr>
      <w:rFonts w:ascii="Calibri" w:eastAsia="Calibri" w:hAnsi="Calibri" w:cs="Calibri"/>
      <w:b/>
      <w:bCs/>
    </w:rPr>
  </w:style>
  <w:style w:type="character" w:customStyle="1" w:styleId="Heading2">
    <w:name w:val="Heading #2_"/>
    <w:basedOn w:val="DefaultParagraphFont"/>
    <w:link w:val="Heading20"/>
    <w:rsid w:val="002A769B"/>
    <w:rPr>
      <w:rFonts w:ascii="Calibri" w:eastAsia="Calibri" w:hAnsi="Calibri" w:cs="Calibri"/>
      <w:b/>
      <w:bCs/>
      <w:color w:val="FF0000"/>
      <w:sz w:val="22"/>
      <w:szCs w:val="22"/>
    </w:rPr>
  </w:style>
  <w:style w:type="character" w:customStyle="1" w:styleId="Bodytext10">
    <w:name w:val="Body text (10)_"/>
    <w:basedOn w:val="DefaultParagraphFont"/>
    <w:link w:val="Bodytext100"/>
    <w:rsid w:val="002A769B"/>
    <w:rPr>
      <w:rFonts w:ascii="Calibri" w:eastAsia="Calibri" w:hAnsi="Calibri" w:cs="Calibri"/>
      <w:b/>
      <w:bCs/>
      <w:sz w:val="19"/>
      <w:szCs w:val="19"/>
    </w:rPr>
  </w:style>
  <w:style w:type="character" w:customStyle="1" w:styleId="Bodytext9">
    <w:name w:val="Body text (9)_"/>
    <w:basedOn w:val="DefaultParagraphFont"/>
    <w:link w:val="Bodytext90"/>
    <w:rsid w:val="002A769B"/>
    <w:rPr>
      <w:rFonts w:ascii="Calibri" w:eastAsia="Calibri" w:hAnsi="Calibri" w:cs="Calibri"/>
      <w:sz w:val="15"/>
      <w:szCs w:val="15"/>
    </w:rPr>
  </w:style>
  <w:style w:type="paragraph" w:customStyle="1" w:styleId="Footnote0">
    <w:name w:val="Footnote"/>
    <w:basedOn w:val="Normal"/>
    <w:link w:val="Footnote"/>
    <w:rsid w:val="002A769B"/>
    <w:rPr>
      <w:rFonts w:ascii="Times New Roman" w:eastAsia="Times New Roman" w:hAnsi="Times New Roman" w:cs="Times New Roman"/>
      <w:color w:val="auto"/>
      <w:kern w:val="2"/>
      <w:sz w:val="20"/>
      <w:szCs w:val="20"/>
      <w:lang w:eastAsia="en-US" w:bidi="ar-SA"/>
      <w14:ligatures w14:val="standardContextual"/>
    </w:rPr>
  </w:style>
  <w:style w:type="paragraph" w:customStyle="1" w:styleId="Bodytext40">
    <w:name w:val="Body text (4)"/>
    <w:basedOn w:val="Normal"/>
    <w:link w:val="Bodytext4"/>
    <w:rsid w:val="002A769B"/>
    <w:pPr>
      <w:spacing w:before="400" w:after="4880"/>
      <w:jc w:val="center"/>
    </w:pPr>
    <w:rPr>
      <w:rFonts w:ascii="Cambria" w:eastAsia="Cambria" w:hAnsi="Cambria" w:cs="Cambria"/>
      <w:color w:val="EBEBEB"/>
      <w:kern w:val="2"/>
      <w:sz w:val="36"/>
      <w:szCs w:val="36"/>
      <w:lang w:eastAsia="en-US" w:bidi="ar-SA"/>
      <w14:ligatures w14:val="standardContextual"/>
    </w:rPr>
  </w:style>
  <w:style w:type="paragraph" w:customStyle="1" w:styleId="Bodytext30">
    <w:name w:val="Body text (3)"/>
    <w:basedOn w:val="Normal"/>
    <w:link w:val="Bodytext3"/>
    <w:rsid w:val="002A769B"/>
    <w:pPr>
      <w:spacing w:after="4200"/>
      <w:jc w:val="center"/>
    </w:pPr>
    <w:rPr>
      <w:rFonts w:ascii="Cambria" w:eastAsia="Cambria" w:hAnsi="Cambria" w:cs="Cambria"/>
      <w:color w:val="EBEBEB"/>
      <w:kern w:val="2"/>
      <w:sz w:val="52"/>
      <w:szCs w:val="52"/>
      <w:lang w:eastAsia="en-US" w:bidi="ar-SA"/>
      <w14:ligatures w14:val="standardContextual"/>
    </w:rPr>
  </w:style>
  <w:style w:type="paragraph" w:customStyle="1" w:styleId="Bodytext60">
    <w:name w:val="Body text (6)"/>
    <w:basedOn w:val="Normal"/>
    <w:link w:val="Bodytext6"/>
    <w:rsid w:val="002A769B"/>
    <w:pPr>
      <w:jc w:val="center"/>
    </w:pPr>
    <w:rPr>
      <w:rFonts w:ascii="Cambria" w:eastAsia="Cambria" w:hAnsi="Cambria" w:cs="Cambria"/>
      <w:i/>
      <w:iCs/>
      <w:color w:val="EBEBEB"/>
      <w:kern w:val="2"/>
      <w:sz w:val="40"/>
      <w:szCs w:val="40"/>
      <w:lang w:eastAsia="en-US" w:bidi="ar-SA"/>
      <w14:ligatures w14:val="standardContextual"/>
    </w:rPr>
  </w:style>
  <w:style w:type="paragraph" w:styleId="BodyText">
    <w:name w:val="Body Text"/>
    <w:basedOn w:val="Normal"/>
    <w:link w:val="BodyTextChar"/>
    <w:qFormat/>
    <w:rsid w:val="002A769B"/>
    <w:pPr>
      <w:spacing w:after="140"/>
    </w:pPr>
    <w:rPr>
      <w:rFonts w:ascii="Times New Roman" w:eastAsia="Times New Roman" w:hAnsi="Times New Roman" w:cs="Times New Roman"/>
      <w:color w:val="auto"/>
      <w:kern w:val="2"/>
      <w:lang w:eastAsia="en-US" w:bidi="ar-SA"/>
      <w14:ligatures w14:val="standardContextual"/>
    </w:rPr>
  </w:style>
  <w:style w:type="character" w:customStyle="1" w:styleId="TijelotekstaChar1">
    <w:name w:val="Tijelo teksta Char1"/>
    <w:basedOn w:val="DefaultParagraphFont"/>
    <w:uiPriority w:val="99"/>
    <w:semiHidden/>
    <w:rsid w:val="002A769B"/>
    <w:rPr>
      <w:rFonts w:ascii="Courier New" w:eastAsia="Courier New" w:hAnsi="Courier New" w:cs="Courier New"/>
      <w:color w:val="000000"/>
      <w:kern w:val="0"/>
      <w:lang w:eastAsia="hr-HR" w:bidi="hr-HR"/>
      <w14:ligatures w14:val="none"/>
    </w:rPr>
  </w:style>
  <w:style w:type="paragraph" w:customStyle="1" w:styleId="Headerorfooter20">
    <w:name w:val="Header or footer (2)"/>
    <w:basedOn w:val="Normal"/>
    <w:link w:val="Headerorfooter2"/>
    <w:rsid w:val="002A769B"/>
    <w:rPr>
      <w:rFonts w:ascii="Times New Roman" w:eastAsia="Times New Roman" w:hAnsi="Times New Roman" w:cs="Times New Roman"/>
      <w:color w:val="auto"/>
      <w:kern w:val="2"/>
      <w:sz w:val="20"/>
      <w:szCs w:val="20"/>
      <w:lang w:eastAsia="en-US" w:bidi="ar-SA"/>
      <w14:ligatures w14:val="standardContextual"/>
    </w:rPr>
  </w:style>
  <w:style w:type="paragraph" w:customStyle="1" w:styleId="Bodytext20">
    <w:name w:val="Body text (2)"/>
    <w:basedOn w:val="Normal"/>
    <w:link w:val="Bodytext2"/>
    <w:rsid w:val="002A769B"/>
    <w:pPr>
      <w:spacing w:after="320"/>
    </w:pPr>
    <w:rPr>
      <w:rFonts w:ascii="Times New Roman" w:eastAsia="Times New Roman" w:hAnsi="Times New Roman" w:cs="Times New Roman"/>
      <w:b/>
      <w:bCs/>
      <w:color w:val="auto"/>
      <w:kern w:val="2"/>
      <w:sz w:val="28"/>
      <w:szCs w:val="28"/>
      <w:lang w:eastAsia="en-US" w:bidi="ar-SA"/>
      <w14:ligatures w14:val="standardContextual"/>
    </w:rPr>
  </w:style>
  <w:style w:type="paragraph" w:customStyle="1" w:styleId="Picturecaption0">
    <w:name w:val="Picture caption"/>
    <w:basedOn w:val="Normal"/>
    <w:link w:val="Picturecaption"/>
    <w:rsid w:val="002A769B"/>
    <w:pPr>
      <w:spacing w:line="262" w:lineRule="auto"/>
    </w:pPr>
    <w:rPr>
      <w:rFonts w:ascii="Times New Roman" w:eastAsia="Times New Roman" w:hAnsi="Times New Roman" w:cs="Times New Roman"/>
      <w:b/>
      <w:bCs/>
      <w:color w:val="auto"/>
      <w:kern w:val="2"/>
      <w:sz w:val="22"/>
      <w:szCs w:val="22"/>
      <w:lang w:eastAsia="en-US" w:bidi="ar-SA"/>
      <w14:ligatures w14:val="standardContextual"/>
    </w:rPr>
  </w:style>
  <w:style w:type="paragraph" w:customStyle="1" w:styleId="Tablecaption0">
    <w:name w:val="Table caption"/>
    <w:basedOn w:val="Normal"/>
    <w:link w:val="Tablecaption"/>
    <w:rsid w:val="002A769B"/>
    <w:rPr>
      <w:rFonts w:ascii="Calibri" w:eastAsia="Calibri" w:hAnsi="Calibri" w:cs="Calibri"/>
      <w:color w:val="auto"/>
      <w:kern w:val="2"/>
      <w:sz w:val="15"/>
      <w:szCs w:val="15"/>
      <w:lang w:eastAsia="en-US" w:bidi="ar-SA"/>
      <w14:ligatures w14:val="standardContextual"/>
    </w:rPr>
  </w:style>
  <w:style w:type="paragraph" w:customStyle="1" w:styleId="Other0">
    <w:name w:val="Other"/>
    <w:basedOn w:val="Normal"/>
    <w:link w:val="Other"/>
    <w:rsid w:val="002A769B"/>
    <w:pPr>
      <w:jc w:val="center"/>
    </w:pPr>
    <w:rPr>
      <w:rFonts w:ascii="Calibri" w:eastAsia="Calibri" w:hAnsi="Calibri" w:cs="Calibri"/>
      <w:color w:val="auto"/>
      <w:kern w:val="2"/>
      <w:sz w:val="19"/>
      <w:szCs w:val="19"/>
      <w:lang w:eastAsia="en-US" w:bidi="ar-SA"/>
      <w14:ligatures w14:val="standardContextual"/>
    </w:rPr>
  </w:style>
  <w:style w:type="paragraph" w:customStyle="1" w:styleId="Bodytext50">
    <w:name w:val="Body text (5)"/>
    <w:basedOn w:val="Normal"/>
    <w:link w:val="Bodytext5"/>
    <w:rsid w:val="002A769B"/>
    <w:pPr>
      <w:spacing w:after="40"/>
      <w:ind w:firstLine="180"/>
    </w:pPr>
    <w:rPr>
      <w:rFonts w:ascii="Times New Roman" w:eastAsia="Times New Roman" w:hAnsi="Times New Roman" w:cs="Times New Roman"/>
      <w:i/>
      <w:iCs/>
      <w:color w:val="auto"/>
      <w:kern w:val="2"/>
      <w:sz w:val="18"/>
      <w:szCs w:val="18"/>
      <w:lang w:eastAsia="en-US" w:bidi="ar-SA"/>
      <w14:ligatures w14:val="standardContextual"/>
    </w:rPr>
  </w:style>
  <w:style w:type="paragraph" w:customStyle="1" w:styleId="Heading10">
    <w:name w:val="Heading #1"/>
    <w:basedOn w:val="Normal"/>
    <w:link w:val="Heading1"/>
    <w:rsid w:val="002A769B"/>
    <w:pPr>
      <w:jc w:val="center"/>
      <w:outlineLvl w:val="0"/>
    </w:pPr>
    <w:rPr>
      <w:rFonts w:ascii="Calibri" w:eastAsia="Calibri" w:hAnsi="Calibri" w:cs="Calibri"/>
      <w:b/>
      <w:bCs/>
      <w:color w:val="auto"/>
      <w:kern w:val="2"/>
      <w:lang w:eastAsia="en-US" w:bidi="ar-SA"/>
      <w14:ligatures w14:val="standardContextual"/>
    </w:rPr>
  </w:style>
  <w:style w:type="paragraph" w:customStyle="1" w:styleId="Heading20">
    <w:name w:val="Heading #2"/>
    <w:basedOn w:val="Normal"/>
    <w:link w:val="Heading2"/>
    <w:rsid w:val="002A769B"/>
    <w:pPr>
      <w:spacing w:after="40"/>
      <w:jc w:val="center"/>
      <w:outlineLvl w:val="1"/>
    </w:pPr>
    <w:rPr>
      <w:rFonts w:ascii="Calibri" w:eastAsia="Calibri" w:hAnsi="Calibri" w:cs="Calibri"/>
      <w:b/>
      <w:bCs/>
      <w:color w:val="FF0000"/>
      <w:kern w:val="2"/>
      <w:sz w:val="22"/>
      <w:szCs w:val="22"/>
      <w:lang w:eastAsia="en-US" w:bidi="ar-SA"/>
      <w14:ligatures w14:val="standardContextual"/>
    </w:rPr>
  </w:style>
  <w:style w:type="paragraph" w:customStyle="1" w:styleId="Bodytext100">
    <w:name w:val="Body text (10)"/>
    <w:basedOn w:val="Normal"/>
    <w:link w:val="Bodytext10"/>
    <w:rsid w:val="002A769B"/>
    <w:rPr>
      <w:rFonts w:ascii="Calibri" w:eastAsia="Calibri" w:hAnsi="Calibri" w:cs="Calibri"/>
      <w:b/>
      <w:bCs/>
      <w:color w:val="auto"/>
      <w:kern w:val="2"/>
      <w:sz w:val="19"/>
      <w:szCs w:val="19"/>
      <w:lang w:eastAsia="en-US" w:bidi="ar-SA"/>
      <w14:ligatures w14:val="standardContextual"/>
    </w:rPr>
  </w:style>
  <w:style w:type="paragraph" w:customStyle="1" w:styleId="Bodytext90">
    <w:name w:val="Body text (9)"/>
    <w:basedOn w:val="Normal"/>
    <w:link w:val="Bodytext9"/>
    <w:rsid w:val="002A769B"/>
    <w:pPr>
      <w:spacing w:line="254" w:lineRule="auto"/>
    </w:pPr>
    <w:rPr>
      <w:rFonts w:ascii="Calibri" w:eastAsia="Calibri" w:hAnsi="Calibri" w:cs="Calibri"/>
      <w:color w:val="auto"/>
      <w:kern w:val="2"/>
      <w:sz w:val="15"/>
      <w:szCs w:val="15"/>
      <w:lang w:eastAsia="en-US" w:bidi="ar-SA"/>
      <w14:ligatures w14:val="standardContextual"/>
    </w:rPr>
  </w:style>
  <w:style w:type="paragraph" w:styleId="NoSpacing">
    <w:name w:val="No Spacing"/>
    <w:link w:val="NoSpacingChar"/>
    <w:uiPriority w:val="1"/>
    <w:qFormat/>
    <w:rsid w:val="002A769B"/>
    <w:rPr>
      <w:rFonts w:asciiTheme="minorHAnsi" w:eastAsiaTheme="minorEastAsia" w:hAnsiTheme="minorHAnsi" w:cstheme="minorBidi"/>
      <w:kern w:val="0"/>
      <w:sz w:val="22"/>
      <w:szCs w:val="22"/>
      <w:lang w:eastAsia="hr-HR"/>
      <w14:ligatures w14:val="none"/>
    </w:rPr>
  </w:style>
  <w:style w:type="character" w:customStyle="1" w:styleId="NoSpacingChar">
    <w:name w:val="No Spacing Char"/>
    <w:basedOn w:val="DefaultParagraphFont"/>
    <w:link w:val="NoSpacing"/>
    <w:uiPriority w:val="1"/>
    <w:rsid w:val="002A769B"/>
    <w:rPr>
      <w:rFonts w:asciiTheme="minorHAnsi" w:eastAsiaTheme="minorEastAsia" w:hAnsiTheme="minorHAnsi" w:cstheme="minorBidi"/>
      <w:kern w:val="0"/>
      <w:sz w:val="22"/>
      <w:szCs w:val="22"/>
      <w:lang w:eastAsia="hr-HR"/>
      <w14:ligatures w14:val="none"/>
    </w:rPr>
  </w:style>
  <w:style w:type="paragraph" w:styleId="Title">
    <w:name w:val="Title"/>
    <w:basedOn w:val="Normal"/>
    <w:next w:val="Normal"/>
    <w:link w:val="TitleChar"/>
    <w:uiPriority w:val="10"/>
    <w:qFormat/>
    <w:rsid w:val="002A769B"/>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lang w:bidi="ar-SA"/>
    </w:rPr>
  </w:style>
  <w:style w:type="character" w:customStyle="1" w:styleId="TitleChar">
    <w:name w:val="Title Char"/>
    <w:basedOn w:val="DefaultParagraphFont"/>
    <w:link w:val="Title"/>
    <w:uiPriority w:val="10"/>
    <w:rsid w:val="002A769B"/>
    <w:rPr>
      <w:rFonts w:asciiTheme="majorHAnsi" w:eastAsiaTheme="majorEastAsia" w:hAnsiTheme="majorHAnsi" w:cstheme="majorBidi"/>
      <w:color w:val="404040" w:themeColor="text1" w:themeTint="BF"/>
      <w:spacing w:val="-10"/>
      <w:kern w:val="28"/>
      <w:sz w:val="56"/>
      <w:szCs w:val="56"/>
      <w:lang w:eastAsia="hr-HR"/>
      <w14:ligatures w14:val="none"/>
    </w:rPr>
  </w:style>
  <w:style w:type="paragraph" w:styleId="Subtitle">
    <w:name w:val="Subtitle"/>
    <w:basedOn w:val="Normal"/>
    <w:next w:val="Normal"/>
    <w:link w:val="SubtitleChar"/>
    <w:uiPriority w:val="11"/>
    <w:qFormat/>
    <w:rsid w:val="002A769B"/>
    <w:pPr>
      <w:widowControl/>
      <w:numPr>
        <w:ilvl w:val="1"/>
      </w:numPr>
      <w:spacing w:after="160" w:line="259" w:lineRule="auto"/>
    </w:pPr>
    <w:rPr>
      <w:rFonts w:asciiTheme="minorHAnsi" w:eastAsiaTheme="minorEastAsia" w:hAnsiTheme="minorHAnsi" w:cs="Times New Roman"/>
      <w:color w:val="5A5A5A" w:themeColor="text1" w:themeTint="A5"/>
      <w:spacing w:val="15"/>
      <w:sz w:val="22"/>
      <w:szCs w:val="22"/>
      <w:lang w:bidi="ar-SA"/>
    </w:rPr>
  </w:style>
  <w:style w:type="character" w:customStyle="1" w:styleId="SubtitleChar">
    <w:name w:val="Subtitle Char"/>
    <w:basedOn w:val="DefaultParagraphFont"/>
    <w:link w:val="Subtitle"/>
    <w:uiPriority w:val="11"/>
    <w:rsid w:val="002A769B"/>
    <w:rPr>
      <w:rFonts w:asciiTheme="minorHAnsi" w:eastAsiaTheme="minorEastAsia" w:hAnsiTheme="minorHAnsi"/>
      <w:color w:val="5A5A5A" w:themeColor="text1" w:themeTint="A5"/>
      <w:spacing w:val="15"/>
      <w:kern w:val="0"/>
      <w:sz w:val="22"/>
      <w:szCs w:val="22"/>
      <w:lang w:eastAsia="hr-HR"/>
      <w14:ligatures w14:val="none"/>
    </w:rPr>
  </w:style>
  <w:style w:type="character" w:styleId="Hyperlink">
    <w:name w:val="Hyperlink"/>
    <w:basedOn w:val="DefaultParagraphFont"/>
    <w:uiPriority w:val="99"/>
    <w:unhideWhenUsed/>
    <w:rsid w:val="002A769B"/>
    <w:rPr>
      <w:color w:val="0563C1" w:themeColor="hyperlink"/>
      <w:u w:val="single"/>
    </w:rPr>
  </w:style>
  <w:style w:type="character" w:customStyle="1" w:styleId="UnresolvedMention1">
    <w:name w:val="Unresolved Mention1"/>
    <w:basedOn w:val="DefaultParagraphFont"/>
    <w:uiPriority w:val="99"/>
    <w:semiHidden/>
    <w:unhideWhenUsed/>
    <w:rsid w:val="002A769B"/>
    <w:rPr>
      <w:color w:val="605E5C"/>
      <w:shd w:val="clear" w:color="auto" w:fill="E1DFDD"/>
    </w:rPr>
  </w:style>
  <w:style w:type="paragraph" w:styleId="Header">
    <w:name w:val="header"/>
    <w:basedOn w:val="Normal"/>
    <w:link w:val="HeaderChar"/>
    <w:uiPriority w:val="99"/>
    <w:unhideWhenUsed/>
    <w:rsid w:val="002A769B"/>
    <w:pPr>
      <w:tabs>
        <w:tab w:val="center" w:pos="4536"/>
        <w:tab w:val="right" w:pos="9072"/>
      </w:tabs>
    </w:pPr>
  </w:style>
  <w:style w:type="character" w:customStyle="1" w:styleId="HeaderChar">
    <w:name w:val="Header Char"/>
    <w:basedOn w:val="DefaultParagraphFont"/>
    <w:link w:val="Header"/>
    <w:uiPriority w:val="99"/>
    <w:rsid w:val="002A769B"/>
    <w:rPr>
      <w:rFonts w:ascii="Courier New" w:eastAsia="Courier New" w:hAnsi="Courier New" w:cs="Courier New"/>
      <w:color w:val="000000"/>
      <w:kern w:val="0"/>
      <w:lang w:eastAsia="hr-HR" w:bidi="hr-HR"/>
      <w14:ligatures w14:val="none"/>
    </w:rPr>
  </w:style>
  <w:style w:type="paragraph" w:styleId="Footer">
    <w:name w:val="footer"/>
    <w:basedOn w:val="Normal"/>
    <w:link w:val="FooterChar"/>
    <w:uiPriority w:val="99"/>
    <w:unhideWhenUsed/>
    <w:rsid w:val="002A769B"/>
    <w:pPr>
      <w:tabs>
        <w:tab w:val="center" w:pos="4536"/>
        <w:tab w:val="right" w:pos="9072"/>
      </w:tabs>
    </w:pPr>
  </w:style>
  <w:style w:type="character" w:customStyle="1" w:styleId="FooterChar">
    <w:name w:val="Footer Char"/>
    <w:basedOn w:val="DefaultParagraphFont"/>
    <w:link w:val="Footer"/>
    <w:uiPriority w:val="99"/>
    <w:rsid w:val="002A769B"/>
    <w:rPr>
      <w:rFonts w:ascii="Courier New" w:eastAsia="Courier New" w:hAnsi="Courier New" w:cs="Courier New"/>
      <w:color w:val="000000"/>
      <w:kern w:val="0"/>
      <w:lang w:eastAsia="hr-HR" w:bidi="hr-HR"/>
      <w14:ligatures w14:val="none"/>
    </w:rPr>
  </w:style>
  <w:style w:type="table" w:styleId="TableGrid">
    <w:name w:val="Table Grid"/>
    <w:basedOn w:val="TableNormal"/>
    <w:uiPriority w:val="39"/>
    <w:rsid w:val="002A769B"/>
    <w:pPr>
      <w:widowControl w:val="0"/>
    </w:pPr>
    <w:rPr>
      <w:rFonts w:ascii="Courier New" w:eastAsia="Courier New" w:hAnsi="Courier New" w:cs="Courier New"/>
      <w:kern w:val="0"/>
      <w:lang w:eastAsia="hr-HR" w:bidi="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renutnipopis1">
    <w:name w:val="Trenutni popis1"/>
    <w:uiPriority w:val="99"/>
    <w:rsid w:val="002A769B"/>
    <w:pPr>
      <w:numPr>
        <w:numId w:val="8"/>
      </w:numPr>
    </w:pPr>
  </w:style>
  <w:style w:type="character" w:styleId="CommentReference">
    <w:name w:val="annotation reference"/>
    <w:basedOn w:val="DefaultParagraphFont"/>
    <w:uiPriority w:val="99"/>
    <w:semiHidden/>
    <w:unhideWhenUsed/>
    <w:rsid w:val="002A769B"/>
    <w:rPr>
      <w:sz w:val="16"/>
      <w:szCs w:val="16"/>
    </w:rPr>
  </w:style>
  <w:style w:type="paragraph" w:styleId="CommentText">
    <w:name w:val="annotation text"/>
    <w:basedOn w:val="Normal"/>
    <w:link w:val="CommentTextChar"/>
    <w:uiPriority w:val="99"/>
    <w:unhideWhenUsed/>
    <w:rsid w:val="002A769B"/>
    <w:rPr>
      <w:sz w:val="20"/>
      <w:szCs w:val="20"/>
    </w:rPr>
  </w:style>
  <w:style w:type="character" w:customStyle="1" w:styleId="CommentTextChar">
    <w:name w:val="Comment Text Char"/>
    <w:basedOn w:val="DefaultParagraphFont"/>
    <w:link w:val="CommentText"/>
    <w:uiPriority w:val="99"/>
    <w:rsid w:val="002A769B"/>
    <w:rPr>
      <w:rFonts w:ascii="Courier New" w:eastAsia="Courier New" w:hAnsi="Courier New" w:cs="Courier New"/>
      <w:color w:val="000000"/>
      <w:kern w:val="0"/>
      <w:sz w:val="20"/>
      <w:szCs w:val="20"/>
      <w:lang w:eastAsia="hr-HR" w:bidi="hr-HR"/>
      <w14:ligatures w14:val="none"/>
    </w:rPr>
  </w:style>
  <w:style w:type="paragraph" w:styleId="CommentSubject">
    <w:name w:val="annotation subject"/>
    <w:basedOn w:val="CommentText"/>
    <w:next w:val="CommentText"/>
    <w:link w:val="CommentSubjectChar"/>
    <w:uiPriority w:val="99"/>
    <w:semiHidden/>
    <w:unhideWhenUsed/>
    <w:rsid w:val="002A769B"/>
    <w:rPr>
      <w:b/>
      <w:bCs/>
    </w:rPr>
  </w:style>
  <w:style w:type="character" w:customStyle="1" w:styleId="CommentSubjectChar">
    <w:name w:val="Comment Subject Char"/>
    <w:basedOn w:val="CommentTextChar"/>
    <w:link w:val="CommentSubject"/>
    <w:uiPriority w:val="99"/>
    <w:semiHidden/>
    <w:rsid w:val="002A769B"/>
    <w:rPr>
      <w:rFonts w:ascii="Courier New" w:eastAsia="Courier New" w:hAnsi="Courier New" w:cs="Courier New"/>
      <w:b/>
      <w:bCs/>
      <w:color w:val="000000"/>
      <w:kern w:val="0"/>
      <w:sz w:val="20"/>
      <w:szCs w:val="20"/>
      <w:lang w:eastAsia="hr-HR" w:bidi="hr-HR"/>
      <w14:ligatures w14:val="none"/>
    </w:rPr>
  </w:style>
  <w:style w:type="paragraph" w:styleId="Revision">
    <w:name w:val="Revision"/>
    <w:hidden/>
    <w:uiPriority w:val="99"/>
    <w:semiHidden/>
    <w:rsid w:val="002A769B"/>
    <w:rPr>
      <w:rFonts w:ascii="Courier New" w:eastAsia="Courier New" w:hAnsi="Courier New" w:cs="Courier New"/>
      <w:color w:val="000000"/>
      <w:kern w:val="0"/>
      <w:lang w:eastAsia="hr-HR" w:bidi="hr-HR"/>
      <w14:ligatures w14:val="none"/>
    </w:rPr>
  </w:style>
  <w:style w:type="paragraph" w:customStyle="1" w:styleId="xmsonormal">
    <w:name w:val="x_msonormal"/>
    <w:basedOn w:val="Normal"/>
    <w:rsid w:val="002A769B"/>
    <w:pPr>
      <w:widowControl/>
    </w:pPr>
    <w:rPr>
      <w:rFonts w:ascii="Calibri" w:eastAsiaTheme="minorHAnsi" w:hAnsi="Calibri" w:cs="Calibri"/>
      <w:color w:val="auto"/>
      <w:sz w:val="22"/>
      <w:szCs w:val="22"/>
      <w:lang w:val="en-GB" w:eastAsia="en-GB" w:bidi="ar-SA"/>
    </w:rPr>
  </w:style>
  <w:style w:type="paragraph" w:customStyle="1" w:styleId="pf0">
    <w:name w:val="pf0"/>
    <w:basedOn w:val="Normal"/>
    <w:rsid w:val="002A76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DefaultParagraphFont"/>
    <w:rsid w:val="002A769B"/>
    <w:rPr>
      <w:rFonts w:ascii="Segoe UI" w:hAnsi="Segoe UI" w:cs="Segoe UI" w:hint="default"/>
      <w:sz w:val="18"/>
      <w:szCs w:val="18"/>
    </w:rPr>
  </w:style>
  <w:style w:type="paragraph" w:styleId="NormalWeb">
    <w:name w:val="Normal (Web)"/>
    <w:basedOn w:val="Normal"/>
    <w:uiPriority w:val="99"/>
    <w:semiHidden/>
    <w:unhideWhenUsed/>
    <w:rsid w:val="002A76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21">
    <w:name w:val="cf21"/>
    <w:basedOn w:val="DefaultParagraphFont"/>
    <w:rsid w:val="002A769B"/>
    <w:rPr>
      <w:rFonts w:ascii="Segoe UI" w:hAnsi="Segoe UI" w:cs="Segoe UI" w:hint="default"/>
      <w:sz w:val="18"/>
      <w:szCs w:val="18"/>
    </w:rPr>
  </w:style>
  <w:style w:type="character" w:customStyle="1" w:styleId="Headerorfooter">
    <w:name w:val="Header or footer_"/>
    <w:basedOn w:val="DefaultParagraphFont"/>
    <w:link w:val="Headerorfooter0"/>
    <w:rsid w:val="002A769B"/>
    <w:rPr>
      <w:rFonts w:ascii="Arial" w:eastAsia="Arial" w:hAnsi="Arial" w:cs="Arial"/>
      <w:sz w:val="20"/>
      <w:szCs w:val="20"/>
    </w:rPr>
  </w:style>
  <w:style w:type="paragraph" w:customStyle="1" w:styleId="Headerorfooter0">
    <w:name w:val="Header or footer"/>
    <w:basedOn w:val="Normal"/>
    <w:link w:val="Headerorfooter"/>
    <w:rsid w:val="002A769B"/>
    <w:rPr>
      <w:rFonts w:ascii="Arial" w:eastAsia="Arial" w:hAnsi="Arial" w:cs="Arial"/>
      <w:color w:val="auto"/>
      <w:kern w:val="2"/>
      <w:sz w:val="20"/>
      <w:szCs w:val="20"/>
      <w:lang w:eastAsia="en-US" w:bidi="ar-SA"/>
      <w14:ligatures w14:val="standardContextual"/>
    </w:rPr>
  </w:style>
  <w:style w:type="paragraph" w:customStyle="1" w:styleId="box475757">
    <w:name w:val="box_475757"/>
    <w:basedOn w:val="Normal"/>
    <w:rsid w:val="004A47A8"/>
    <w:pPr>
      <w:widowControl/>
      <w:spacing w:before="100" w:beforeAutospacing="1" w:after="100" w:afterAutospacing="1"/>
    </w:pPr>
    <w:rPr>
      <w:rFonts w:ascii="Times New Roman" w:eastAsia="Times New Roman" w:hAnsi="Times New Roman" w:cs="Times New Roman"/>
      <w:color w:val="auto"/>
      <w:lang w:bidi="ar-SA"/>
    </w:rPr>
  </w:style>
  <w:style w:type="paragraph" w:styleId="ListParagraph">
    <w:name w:val="List Paragraph"/>
    <w:basedOn w:val="Normal"/>
    <w:uiPriority w:val="34"/>
    <w:qFormat/>
    <w:rsid w:val="00782F61"/>
    <w:pPr>
      <w:ind w:left="720"/>
      <w:contextualSpacing/>
    </w:pPr>
  </w:style>
  <w:style w:type="paragraph" w:styleId="FootnoteText">
    <w:name w:val="footnote text"/>
    <w:basedOn w:val="Normal"/>
    <w:link w:val="FootnoteTextChar"/>
    <w:uiPriority w:val="99"/>
    <w:semiHidden/>
    <w:unhideWhenUsed/>
    <w:rsid w:val="00837DF2"/>
    <w:rPr>
      <w:sz w:val="20"/>
      <w:szCs w:val="20"/>
    </w:rPr>
  </w:style>
  <w:style w:type="character" w:customStyle="1" w:styleId="FootnoteTextChar">
    <w:name w:val="Footnote Text Char"/>
    <w:basedOn w:val="DefaultParagraphFont"/>
    <w:link w:val="FootnoteText"/>
    <w:uiPriority w:val="99"/>
    <w:semiHidden/>
    <w:rsid w:val="00837DF2"/>
    <w:rPr>
      <w:rFonts w:ascii="Courier New" w:eastAsia="Courier New" w:hAnsi="Courier New" w:cs="Courier New"/>
      <w:color w:val="000000"/>
      <w:kern w:val="0"/>
      <w:sz w:val="20"/>
      <w:szCs w:val="20"/>
      <w:lang w:eastAsia="hr-HR" w:bidi="hr-HR"/>
      <w14:ligatures w14:val="none"/>
    </w:rPr>
  </w:style>
  <w:style w:type="character" w:styleId="FootnoteReference">
    <w:name w:val="footnote reference"/>
    <w:basedOn w:val="DefaultParagraphFont"/>
    <w:uiPriority w:val="99"/>
    <w:semiHidden/>
    <w:unhideWhenUsed/>
    <w:rsid w:val="00837DF2"/>
    <w:rPr>
      <w:vertAlign w:val="superscript"/>
    </w:rPr>
  </w:style>
  <w:style w:type="table" w:customStyle="1" w:styleId="TableGrid1">
    <w:name w:val="Table Grid1"/>
    <w:basedOn w:val="TableNormal"/>
    <w:next w:val="TableGrid"/>
    <w:rsid w:val="00580FF2"/>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77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79E"/>
    <w:rPr>
      <w:rFonts w:ascii="Segoe UI" w:eastAsia="Courier New" w:hAnsi="Segoe UI" w:cs="Segoe UI"/>
      <w:color w:val="000000"/>
      <w:kern w:val="0"/>
      <w:sz w:val="18"/>
      <w:szCs w:val="18"/>
      <w:lang w:eastAsia="hr-HR" w:bidi="hr-HR"/>
      <w14:ligatures w14:val="none"/>
    </w:rPr>
  </w:style>
  <w:style w:type="character" w:customStyle="1" w:styleId="Heading5Char">
    <w:name w:val="Heading 5 Char"/>
    <w:basedOn w:val="DefaultParagraphFont"/>
    <w:link w:val="Heading5"/>
    <w:uiPriority w:val="9"/>
    <w:rsid w:val="00833AB8"/>
    <w:rPr>
      <w:rFonts w:eastAsiaTheme="majorEastAsia" w:cstheme="majorBidi"/>
      <w:i/>
      <w:color w:val="657C9C" w:themeColor="text2" w:themeTint="BF"/>
    </w:rPr>
  </w:style>
  <w:style w:type="table" w:customStyle="1" w:styleId="Reetkatablice1">
    <w:name w:val="Rešetka tablice1"/>
    <w:basedOn w:val="TableNormal"/>
    <w:next w:val="TableGrid"/>
    <w:uiPriority w:val="39"/>
    <w:rsid w:val="008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AF5198"/>
    <w:rPr>
      <w:rFonts w:ascii="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5A0CC1"/>
    <w:rPr>
      <w:rFonts w:ascii="Courier New" w:eastAsia="Courier New" w:hAnsi="Courier New" w:cs="Courier New"/>
      <w:color w:val="000000"/>
      <w:kern w:val="0"/>
      <w:lang w:eastAsia="hr-HR" w:bidi="hr-HR"/>
      <w14:ligatures w14:val="none"/>
    </w:rPr>
  </w:style>
  <w:style w:type="numbering" w:customStyle="1" w:styleId="Trenutnipopis11">
    <w:name w:val="Trenutni popis11"/>
    <w:uiPriority w:val="99"/>
    <w:rsid w:val="005A0CC1"/>
  </w:style>
  <w:style w:type="character" w:styleId="Emphasis">
    <w:name w:val="Emphasis"/>
    <w:basedOn w:val="DefaultParagraphFont"/>
    <w:uiPriority w:val="20"/>
    <w:qFormat/>
    <w:rsid w:val="005A0C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644">
      <w:bodyDiv w:val="1"/>
      <w:marLeft w:val="0"/>
      <w:marRight w:val="0"/>
      <w:marTop w:val="0"/>
      <w:marBottom w:val="0"/>
      <w:divBdr>
        <w:top w:val="none" w:sz="0" w:space="0" w:color="auto"/>
        <w:left w:val="none" w:sz="0" w:space="0" w:color="auto"/>
        <w:bottom w:val="none" w:sz="0" w:space="0" w:color="auto"/>
        <w:right w:val="none" w:sz="0" w:space="0" w:color="auto"/>
      </w:divBdr>
    </w:div>
    <w:div w:id="64306574">
      <w:bodyDiv w:val="1"/>
      <w:marLeft w:val="0"/>
      <w:marRight w:val="0"/>
      <w:marTop w:val="0"/>
      <w:marBottom w:val="0"/>
      <w:divBdr>
        <w:top w:val="none" w:sz="0" w:space="0" w:color="auto"/>
        <w:left w:val="none" w:sz="0" w:space="0" w:color="auto"/>
        <w:bottom w:val="none" w:sz="0" w:space="0" w:color="auto"/>
        <w:right w:val="none" w:sz="0" w:space="0" w:color="auto"/>
      </w:divBdr>
    </w:div>
    <w:div w:id="90316773">
      <w:bodyDiv w:val="1"/>
      <w:marLeft w:val="0"/>
      <w:marRight w:val="0"/>
      <w:marTop w:val="0"/>
      <w:marBottom w:val="0"/>
      <w:divBdr>
        <w:top w:val="none" w:sz="0" w:space="0" w:color="auto"/>
        <w:left w:val="none" w:sz="0" w:space="0" w:color="auto"/>
        <w:bottom w:val="none" w:sz="0" w:space="0" w:color="auto"/>
        <w:right w:val="none" w:sz="0" w:space="0" w:color="auto"/>
      </w:divBdr>
    </w:div>
    <w:div w:id="107509571">
      <w:bodyDiv w:val="1"/>
      <w:marLeft w:val="0"/>
      <w:marRight w:val="0"/>
      <w:marTop w:val="0"/>
      <w:marBottom w:val="0"/>
      <w:divBdr>
        <w:top w:val="none" w:sz="0" w:space="0" w:color="auto"/>
        <w:left w:val="none" w:sz="0" w:space="0" w:color="auto"/>
        <w:bottom w:val="none" w:sz="0" w:space="0" w:color="auto"/>
        <w:right w:val="none" w:sz="0" w:space="0" w:color="auto"/>
      </w:divBdr>
    </w:div>
    <w:div w:id="111563105">
      <w:bodyDiv w:val="1"/>
      <w:marLeft w:val="0"/>
      <w:marRight w:val="0"/>
      <w:marTop w:val="0"/>
      <w:marBottom w:val="0"/>
      <w:divBdr>
        <w:top w:val="none" w:sz="0" w:space="0" w:color="auto"/>
        <w:left w:val="none" w:sz="0" w:space="0" w:color="auto"/>
        <w:bottom w:val="none" w:sz="0" w:space="0" w:color="auto"/>
        <w:right w:val="none" w:sz="0" w:space="0" w:color="auto"/>
      </w:divBdr>
    </w:div>
    <w:div w:id="111902344">
      <w:bodyDiv w:val="1"/>
      <w:marLeft w:val="0"/>
      <w:marRight w:val="0"/>
      <w:marTop w:val="0"/>
      <w:marBottom w:val="0"/>
      <w:divBdr>
        <w:top w:val="none" w:sz="0" w:space="0" w:color="auto"/>
        <w:left w:val="none" w:sz="0" w:space="0" w:color="auto"/>
        <w:bottom w:val="none" w:sz="0" w:space="0" w:color="auto"/>
        <w:right w:val="none" w:sz="0" w:space="0" w:color="auto"/>
      </w:divBdr>
    </w:div>
    <w:div w:id="112677285">
      <w:bodyDiv w:val="1"/>
      <w:marLeft w:val="0"/>
      <w:marRight w:val="0"/>
      <w:marTop w:val="0"/>
      <w:marBottom w:val="0"/>
      <w:divBdr>
        <w:top w:val="none" w:sz="0" w:space="0" w:color="auto"/>
        <w:left w:val="none" w:sz="0" w:space="0" w:color="auto"/>
        <w:bottom w:val="none" w:sz="0" w:space="0" w:color="auto"/>
        <w:right w:val="none" w:sz="0" w:space="0" w:color="auto"/>
      </w:divBdr>
    </w:div>
    <w:div w:id="167989706">
      <w:bodyDiv w:val="1"/>
      <w:marLeft w:val="0"/>
      <w:marRight w:val="0"/>
      <w:marTop w:val="0"/>
      <w:marBottom w:val="0"/>
      <w:divBdr>
        <w:top w:val="none" w:sz="0" w:space="0" w:color="auto"/>
        <w:left w:val="none" w:sz="0" w:space="0" w:color="auto"/>
        <w:bottom w:val="none" w:sz="0" w:space="0" w:color="auto"/>
        <w:right w:val="none" w:sz="0" w:space="0" w:color="auto"/>
      </w:divBdr>
    </w:div>
    <w:div w:id="190384701">
      <w:bodyDiv w:val="1"/>
      <w:marLeft w:val="0"/>
      <w:marRight w:val="0"/>
      <w:marTop w:val="0"/>
      <w:marBottom w:val="0"/>
      <w:divBdr>
        <w:top w:val="none" w:sz="0" w:space="0" w:color="auto"/>
        <w:left w:val="none" w:sz="0" w:space="0" w:color="auto"/>
        <w:bottom w:val="none" w:sz="0" w:space="0" w:color="auto"/>
        <w:right w:val="none" w:sz="0" w:space="0" w:color="auto"/>
      </w:divBdr>
    </w:div>
    <w:div w:id="193079293">
      <w:bodyDiv w:val="1"/>
      <w:marLeft w:val="0"/>
      <w:marRight w:val="0"/>
      <w:marTop w:val="0"/>
      <w:marBottom w:val="0"/>
      <w:divBdr>
        <w:top w:val="none" w:sz="0" w:space="0" w:color="auto"/>
        <w:left w:val="none" w:sz="0" w:space="0" w:color="auto"/>
        <w:bottom w:val="none" w:sz="0" w:space="0" w:color="auto"/>
        <w:right w:val="none" w:sz="0" w:space="0" w:color="auto"/>
      </w:divBdr>
    </w:div>
    <w:div w:id="229971717">
      <w:bodyDiv w:val="1"/>
      <w:marLeft w:val="0"/>
      <w:marRight w:val="0"/>
      <w:marTop w:val="0"/>
      <w:marBottom w:val="0"/>
      <w:divBdr>
        <w:top w:val="none" w:sz="0" w:space="0" w:color="auto"/>
        <w:left w:val="none" w:sz="0" w:space="0" w:color="auto"/>
        <w:bottom w:val="none" w:sz="0" w:space="0" w:color="auto"/>
        <w:right w:val="none" w:sz="0" w:space="0" w:color="auto"/>
      </w:divBdr>
    </w:div>
    <w:div w:id="230653283">
      <w:bodyDiv w:val="1"/>
      <w:marLeft w:val="0"/>
      <w:marRight w:val="0"/>
      <w:marTop w:val="0"/>
      <w:marBottom w:val="0"/>
      <w:divBdr>
        <w:top w:val="none" w:sz="0" w:space="0" w:color="auto"/>
        <w:left w:val="none" w:sz="0" w:space="0" w:color="auto"/>
        <w:bottom w:val="none" w:sz="0" w:space="0" w:color="auto"/>
        <w:right w:val="none" w:sz="0" w:space="0" w:color="auto"/>
      </w:divBdr>
    </w:div>
    <w:div w:id="265502686">
      <w:bodyDiv w:val="1"/>
      <w:marLeft w:val="0"/>
      <w:marRight w:val="0"/>
      <w:marTop w:val="0"/>
      <w:marBottom w:val="0"/>
      <w:divBdr>
        <w:top w:val="none" w:sz="0" w:space="0" w:color="auto"/>
        <w:left w:val="none" w:sz="0" w:space="0" w:color="auto"/>
        <w:bottom w:val="none" w:sz="0" w:space="0" w:color="auto"/>
        <w:right w:val="none" w:sz="0" w:space="0" w:color="auto"/>
      </w:divBdr>
    </w:div>
    <w:div w:id="282997967">
      <w:bodyDiv w:val="1"/>
      <w:marLeft w:val="0"/>
      <w:marRight w:val="0"/>
      <w:marTop w:val="0"/>
      <w:marBottom w:val="0"/>
      <w:divBdr>
        <w:top w:val="none" w:sz="0" w:space="0" w:color="auto"/>
        <w:left w:val="none" w:sz="0" w:space="0" w:color="auto"/>
        <w:bottom w:val="none" w:sz="0" w:space="0" w:color="auto"/>
        <w:right w:val="none" w:sz="0" w:space="0" w:color="auto"/>
      </w:divBdr>
    </w:div>
    <w:div w:id="336811990">
      <w:bodyDiv w:val="1"/>
      <w:marLeft w:val="0"/>
      <w:marRight w:val="0"/>
      <w:marTop w:val="0"/>
      <w:marBottom w:val="0"/>
      <w:divBdr>
        <w:top w:val="none" w:sz="0" w:space="0" w:color="auto"/>
        <w:left w:val="none" w:sz="0" w:space="0" w:color="auto"/>
        <w:bottom w:val="none" w:sz="0" w:space="0" w:color="auto"/>
        <w:right w:val="none" w:sz="0" w:space="0" w:color="auto"/>
      </w:divBdr>
    </w:div>
    <w:div w:id="369188221">
      <w:bodyDiv w:val="1"/>
      <w:marLeft w:val="0"/>
      <w:marRight w:val="0"/>
      <w:marTop w:val="0"/>
      <w:marBottom w:val="0"/>
      <w:divBdr>
        <w:top w:val="none" w:sz="0" w:space="0" w:color="auto"/>
        <w:left w:val="none" w:sz="0" w:space="0" w:color="auto"/>
        <w:bottom w:val="none" w:sz="0" w:space="0" w:color="auto"/>
        <w:right w:val="none" w:sz="0" w:space="0" w:color="auto"/>
      </w:divBdr>
    </w:div>
    <w:div w:id="406080268">
      <w:bodyDiv w:val="1"/>
      <w:marLeft w:val="0"/>
      <w:marRight w:val="0"/>
      <w:marTop w:val="0"/>
      <w:marBottom w:val="0"/>
      <w:divBdr>
        <w:top w:val="none" w:sz="0" w:space="0" w:color="auto"/>
        <w:left w:val="none" w:sz="0" w:space="0" w:color="auto"/>
        <w:bottom w:val="none" w:sz="0" w:space="0" w:color="auto"/>
        <w:right w:val="none" w:sz="0" w:space="0" w:color="auto"/>
      </w:divBdr>
    </w:div>
    <w:div w:id="429546452">
      <w:bodyDiv w:val="1"/>
      <w:marLeft w:val="0"/>
      <w:marRight w:val="0"/>
      <w:marTop w:val="0"/>
      <w:marBottom w:val="0"/>
      <w:divBdr>
        <w:top w:val="none" w:sz="0" w:space="0" w:color="auto"/>
        <w:left w:val="none" w:sz="0" w:space="0" w:color="auto"/>
        <w:bottom w:val="none" w:sz="0" w:space="0" w:color="auto"/>
        <w:right w:val="none" w:sz="0" w:space="0" w:color="auto"/>
      </w:divBdr>
    </w:div>
    <w:div w:id="431363426">
      <w:bodyDiv w:val="1"/>
      <w:marLeft w:val="0"/>
      <w:marRight w:val="0"/>
      <w:marTop w:val="0"/>
      <w:marBottom w:val="0"/>
      <w:divBdr>
        <w:top w:val="none" w:sz="0" w:space="0" w:color="auto"/>
        <w:left w:val="none" w:sz="0" w:space="0" w:color="auto"/>
        <w:bottom w:val="none" w:sz="0" w:space="0" w:color="auto"/>
        <w:right w:val="none" w:sz="0" w:space="0" w:color="auto"/>
      </w:divBdr>
    </w:div>
    <w:div w:id="472067426">
      <w:bodyDiv w:val="1"/>
      <w:marLeft w:val="0"/>
      <w:marRight w:val="0"/>
      <w:marTop w:val="0"/>
      <w:marBottom w:val="0"/>
      <w:divBdr>
        <w:top w:val="none" w:sz="0" w:space="0" w:color="auto"/>
        <w:left w:val="none" w:sz="0" w:space="0" w:color="auto"/>
        <w:bottom w:val="none" w:sz="0" w:space="0" w:color="auto"/>
        <w:right w:val="none" w:sz="0" w:space="0" w:color="auto"/>
      </w:divBdr>
    </w:div>
    <w:div w:id="481316275">
      <w:bodyDiv w:val="1"/>
      <w:marLeft w:val="0"/>
      <w:marRight w:val="0"/>
      <w:marTop w:val="0"/>
      <w:marBottom w:val="0"/>
      <w:divBdr>
        <w:top w:val="none" w:sz="0" w:space="0" w:color="auto"/>
        <w:left w:val="none" w:sz="0" w:space="0" w:color="auto"/>
        <w:bottom w:val="none" w:sz="0" w:space="0" w:color="auto"/>
        <w:right w:val="none" w:sz="0" w:space="0" w:color="auto"/>
      </w:divBdr>
    </w:div>
    <w:div w:id="488639883">
      <w:bodyDiv w:val="1"/>
      <w:marLeft w:val="0"/>
      <w:marRight w:val="0"/>
      <w:marTop w:val="0"/>
      <w:marBottom w:val="0"/>
      <w:divBdr>
        <w:top w:val="none" w:sz="0" w:space="0" w:color="auto"/>
        <w:left w:val="none" w:sz="0" w:space="0" w:color="auto"/>
        <w:bottom w:val="none" w:sz="0" w:space="0" w:color="auto"/>
        <w:right w:val="none" w:sz="0" w:space="0" w:color="auto"/>
      </w:divBdr>
    </w:div>
    <w:div w:id="495848535">
      <w:bodyDiv w:val="1"/>
      <w:marLeft w:val="0"/>
      <w:marRight w:val="0"/>
      <w:marTop w:val="0"/>
      <w:marBottom w:val="0"/>
      <w:divBdr>
        <w:top w:val="none" w:sz="0" w:space="0" w:color="auto"/>
        <w:left w:val="none" w:sz="0" w:space="0" w:color="auto"/>
        <w:bottom w:val="none" w:sz="0" w:space="0" w:color="auto"/>
        <w:right w:val="none" w:sz="0" w:space="0" w:color="auto"/>
      </w:divBdr>
    </w:div>
    <w:div w:id="512189639">
      <w:bodyDiv w:val="1"/>
      <w:marLeft w:val="0"/>
      <w:marRight w:val="0"/>
      <w:marTop w:val="0"/>
      <w:marBottom w:val="0"/>
      <w:divBdr>
        <w:top w:val="none" w:sz="0" w:space="0" w:color="auto"/>
        <w:left w:val="none" w:sz="0" w:space="0" w:color="auto"/>
        <w:bottom w:val="none" w:sz="0" w:space="0" w:color="auto"/>
        <w:right w:val="none" w:sz="0" w:space="0" w:color="auto"/>
      </w:divBdr>
    </w:div>
    <w:div w:id="517424150">
      <w:bodyDiv w:val="1"/>
      <w:marLeft w:val="0"/>
      <w:marRight w:val="0"/>
      <w:marTop w:val="0"/>
      <w:marBottom w:val="0"/>
      <w:divBdr>
        <w:top w:val="none" w:sz="0" w:space="0" w:color="auto"/>
        <w:left w:val="none" w:sz="0" w:space="0" w:color="auto"/>
        <w:bottom w:val="none" w:sz="0" w:space="0" w:color="auto"/>
        <w:right w:val="none" w:sz="0" w:space="0" w:color="auto"/>
      </w:divBdr>
    </w:div>
    <w:div w:id="539712531">
      <w:bodyDiv w:val="1"/>
      <w:marLeft w:val="0"/>
      <w:marRight w:val="0"/>
      <w:marTop w:val="0"/>
      <w:marBottom w:val="0"/>
      <w:divBdr>
        <w:top w:val="none" w:sz="0" w:space="0" w:color="auto"/>
        <w:left w:val="none" w:sz="0" w:space="0" w:color="auto"/>
        <w:bottom w:val="none" w:sz="0" w:space="0" w:color="auto"/>
        <w:right w:val="none" w:sz="0" w:space="0" w:color="auto"/>
      </w:divBdr>
    </w:div>
    <w:div w:id="555048647">
      <w:bodyDiv w:val="1"/>
      <w:marLeft w:val="0"/>
      <w:marRight w:val="0"/>
      <w:marTop w:val="0"/>
      <w:marBottom w:val="0"/>
      <w:divBdr>
        <w:top w:val="none" w:sz="0" w:space="0" w:color="auto"/>
        <w:left w:val="none" w:sz="0" w:space="0" w:color="auto"/>
        <w:bottom w:val="none" w:sz="0" w:space="0" w:color="auto"/>
        <w:right w:val="none" w:sz="0" w:space="0" w:color="auto"/>
      </w:divBdr>
    </w:div>
    <w:div w:id="567113937">
      <w:bodyDiv w:val="1"/>
      <w:marLeft w:val="0"/>
      <w:marRight w:val="0"/>
      <w:marTop w:val="0"/>
      <w:marBottom w:val="0"/>
      <w:divBdr>
        <w:top w:val="none" w:sz="0" w:space="0" w:color="auto"/>
        <w:left w:val="none" w:sz="0" w:space="0" w:color="auto"/>
        <w:bottom w:val="none" w:sz="0" w:space="0" w:color="auto"/>
        <w:right w:val="none" w:sz="0" w:space="0" w:color="auto"/>
      </w:divBdr>
    </w:div>
    <w:div w:id="611976438">
      <w:bodyDiv w:val="1"/>
      <w:marLeft w:val="0"/>
      <w:marRight w:val="0"/>
      <w:marTop w:val="0"/>
      <w:marBottom w:val="0"/>
      <w:divBdr>
        <w:top w:val="none" w:sz="0" w:space="0" w:color="auto"/>
        <w:left w:val="none" w:sz="0" w:space="0" w:color="auto"/>
        <w:bottom w:val="none" w:sz="0" w:space="0" w:color="auto"/>
        <w:right w:val="none" w:sz="0" w:space="0" w:color="auto"/>
      </w:divBdr>
    </w:div>
    <w:div w:id="624820248">
      <w:bodyDiv w:val="1"/>
      <w:marLeft w:val="0"/>
      <w:marRight w:val="0"/>
      <w:marTop w:val="0"/>
      <w:marBottom w:val="0"/>
      <w:divBdr>
        <w:top w:val="none" w:sz="0" w:space="0" w:color="auto"/>
        <w:left w:val="none" w:sz="0" w:space="0" w:color="auto"/>
        <w:bottom w:val="none" w:sz="0" w:space="0" w:color="auto"/>
        <w:right w:val="none" w:sz="0" w:space="0" w:color="auto"/>
      </w:divBdr>
    </w:div>
    <w:div w:id="655107212">
      <w:bodyDiv w:val="1"/>
      <w:marLeft w:val="0"/>
      <w:marRight w:val="0"/>
      <w:marTop w:val="0"/>
      <w:marBottom w:val="0"/>
      <w:divBdr>
        <w:top w:val="none" w:sz="0" w:space="0" w:color="auto"/>
        <w:left w:val="none" w:sz="0" w:space="0" w:color="auto"/>
        <w:bottom w:val="none" w:sz="0" w:space="0" w:color="auto"/>
        <w:right w:val="none" w:sz="0" w:space="0" w:color="auto"/>
      </w:divBdr>
    </w:div>
    <w:div w:id="655303378">
      <w:bodyDiv w:val="1"/>
      <w:marLeft w:val="0"/>
      <w:marRight w:val="0"/>
      <w:marTop w:val="0"/>
      <w:marBottom w:val="0"/>
      <w:divBdr>
        <w:top w:val="none" w:sz="0" w:space="0" w:color="auto"/>
        <w:left w:val="none" w:sz="0" w:space="0" w:color="auto"/>
        <w:bottom w:val="none" w:sz="0" w:space="0" w:color="auto"/>
        <w:right w:val="none" w:sz="0" w:space="0" w:color="auto"/>
      </w:divBdr>
    </w:div>
    <w:div w:id="666372402">
      <w:bodyDiv w:val="1"/>
      <w:marLeft w:val="0"/>
      <w:marRight w:val="0"/>
      <w:marTop w:val="0"/>
      <w:marBottom w:val="0"/>
      <w:divBdr>
        <w:top w:val="none" w:sz="0" w:space="0" w:color="auto"/>
        <w:left w:val="none" w:sz="0" w:space="0" w:color="auto"/>
        <w:bottom w:val="none" w:sz="0" w:space="0" w:color="auto"/>
        <w:right w:val="none" w:sz="0" w:space="0" w:color="auto"/>
      </w:divBdr>
    </w:div>
    <w:div w:id="678124231">
      <w:bodyDiv w:val="1"/>
      <w:marLeft w:val="0"/>
      <w:marRight w:val="0"/>
      <w:marTop w:val="0"/>
      <w:marBottom w:val="0"/>
      <w:divBdr>
        <w:top w:val="none" w:sz="0" w:space="0" w:color="auto"/>
        <w:left w:val="none" w:sz="0" w:space="0" w:color="auto"/>
        <w:bottom w:val="none" w:sz="0" w:space="0" w:color="auto"/>
        <w:right w:val="none" w:sz="0" w:space="0" w:color="auto"/>
      </w:divBdr>
    </w:div>
    <w:div w:id="687021982">
      <w:bodyDiv w:val="1"/>
      <w:marLeft w:val="0"/>
      <w:marRight w:val="0"/>
      <w:marTop w:val="0"/>
      <w:marBottom w:val="0"/>
      <w:divBdr>
        <w:top w:val="none" w:sz="0" w:space="0" w:color="auto"/>
        <w:left w:val="none" w:sz="0" w:space="0" w:color="auto"/>
        <w:bottom w:val="none" w:sz="0" w:space="0" w:color="auto"/>
        <w:right w:val="none" w:sz="0" w:space="0" w:color="auto"/>
      </w:divBdr>
    </w:div>
    <w:div w:id="689181112">
      <w:bodyDiv w:val="1"/>
      <w:marLeft w:val="0"/>
      <w:marRight w:val="0"/>
      <w:marTop w:val="0"/>
      <w:marBottom w:val="0"/>
      <w:divBdr>
        <w:top w:val="none" w:sz="0" w:space="0" w:color="auto"/>
        <w:left w:val="none" w:sz="0" w:space="0" w:color="auto"/>
        <w:bottom w:val="none" w:sz="0" w:space="0" w:color="auto"/>
        <w:right w:val="none" w:sz="0" w:space="0" w:color="auto"/>
      </w:divBdr>
    </w:div>
    <w:div w:id="694313365">
      <w:bodyDiv w:val="1"/>
      <w:marLeft w:val="0"/>
      <w:marRight w:val="0"/>
      <w:marTop w:val="0"/>
      <w:marBottom w:val="0"/>
      <w:divBdr>
        <w:top w:val="none" w:sz="0" w:space="0" w:color="auto"/>
        <w:left w:val="none" w:sz="0" w:space="0" w:color="auto"/>
        <w:bottom w:val="none" w:sz="0" w:space="0" w:color="auto"/>
        <w:right w:val="none" w:sz="0" w:space="0" w:color="auto"/>
      </w:divBdr>
    </w:div>
    <w:div w:id="706955534">
      <w:bodyDiv w:val="1"/>
      <w:marLeft w:val="0"/>
      <w:marRight w:val="0"/>
      <w:marTop w:val="0"/>
      <w:marBottom w:val="0"/>
      <w:divBdr>
        <w:top w:val="none" w:sz="0" w:space="0" w:color="auto"/>
        <w:left w:val="none" w:sz="0" w:space="0" w:color="auto"/>
        <w:bottom w:val="none" w:sz="0" w:space="0" w:color="auto"/>
        <w:right w:val="none" w:sz="0" w:space="0" w:color="auto"/>
      </w:divBdr>
    </w:div>
    <w:div w:id="726487807">
      <w:bodyDiv w:val="1"/>
      <w:marLeft w:val="0"/>
      <w:marRight w:val="0"/>
      <w:marTop w:val="0"/>
      <w:marBottom w:val="0"/>
      <w:divBdr>
        <w:top w:val="none" w:sz="0" w:space="0" w:color="auto"/>
        <w:left w:val="none" w:sz="0" w:space="0" w:color="auto"/>
        <w:bottom w:val="none" w:sz="0" w:space="0" w:color="auto"/>
        <w:right w:val="none" w:sz="0" w:space="0" w:color="auto"/>
      </w:divBdr>
    </w:div>
    <w:div w:id="734352194">
      <w:bodyDiv w:val="1"/>
      <w:marLeft w:val="0"/>
      <w:marRight w:val="0"/>
      <w:marTop w:val="0"/>
      <w:marBottom w:val="0"/>
      <w:divBdr>
        <w:top w:val="none" w:sz="0" w:space="0" w:color="auto"/>
        <w:left w:val="none" w:sz="0" w:space="0" w:color="auto"/>
        <w:bottom w:val="none" w:sz="0" w:space="0" w:color="auto"/>
        <w:right w:val="none" w:sz="0" w:space="0" w:color="auto"/>
      </w:divBdr>
    </w:div>
    <w:div w:id="793257688">
      <w:bodyDiv w:val="1"/>
      <w:marLeft w:val="0"/>
      <w:marRight w:val="0"/>
      <w:marTop w:val="0"/>
      <w:marBottom w:val="0"/>
      <w:divBdr>
        <w:top w:val="none" w:sz="0" w:space="0" w:color="auto"/>
        <w:left w:val="none" w:sz="0" w:space="0" w:color="auto"/>
        <w:bottom w:val="none" w:sz="0" w:space="0" w:color="auto"/>
        <w:right w:val="none" w:sz="0" w:space="0" w:color="auto"/>
      </w:divBdr>
    </w:div>
    <w:div w:id="814686833">
      <w:bodyDiv w:val="1"/>
      <w:marLeft w:val="0"/>
      <w:marRight w:val="0"/>
      <w:marTop w:val="0"/>
      <w:marBottom w:val="0"/>
      <w:divBdr>
        <w:top w:val="none" w:sz="0" w:space="0" w:color="auto"/>
        <w:left w:val="none" w:sz="0" w:space="0" w:color="auto"/>
        <w:bottom w:val="none" w:sz="0" w:space="0" w:color="auto"/>
        <w:right w:val="none" w:sz="0" w:space="0" w:color="auto"/>
      </w:divBdr>
    </w:div>
    <w:div w:id="859977110">
      <w:bodyDiv w:val="1"/>
      <w:marLeft w:val="0"/>
      <w:marRight w:val="0"/>
      <w:marTop w:val="0"/>
      <w:marBottom w:val="0"/>
      <w:divBdr>
        <w:top w:val="none" w:sz="0" w:space="0" w:color="auto"/>
        <w:left w:val="none" w:sz="0" w:space="0" w:color="auto"/>
        <w:bottom w:val="none" w:sz="0" w:space="0" w:color="auto"/>
        <w:right w:val="none" w:sz="0" w:space="0" w:color="auto"/>
      </w:divBdr>
    </w:div>
    <w:div w:id="890265915">
      <w:bodyDiv w:val="1"/>
      <w:marLeft w:val="0"/>
      <w:marRight w:val="0"/>
      <w:marTop w:val="0"/>
      <w:marBottom w:val="0"/>
      <w:divBdr>
        <w:top w:val="none" w:sz="0" w:space="0" w:color="auto"/>
        <w:left w:val="none" w:sz="0" w:space="0" w:color="auto"/>
        <w:bottom w:val="none" w:sz="0" w:space="0" w:color="auto"/>
        <w:right w:val="none" w:sz="0" w:space="0" w:color="auto"/>
      </w:divBdr>
    </w:div>
    <w:div w:id="975256489">
      <w:bodyDiv w:val="1"/>
      <w:marLeft w:val="0"/>
      <w:marRight w:val="0"/>
      <w:marTop w:val="0"/>
      <w:marBottom w:val="0"/>
      <w:divBdr>
        <w:top w:val="none" w:sz="0" w:space="0" w:color="auto"/>
        <w:left w:val="none" w:sz="0" w:space="0" w:color="auto"/>
        <w:bottom w:val="none" w:sz="0" w:space="0" w:color="auto"/>
        <w:right w:val="none" w:sz="0" w:space="0" w:color="auto"/>
      </w:divBdr>
    </w:div>
    <w:div w:id="980158532">
      <w:bodyDiv w:val="1"/>
      <w:marLeft w:val="0"/>
      <w:marRight w:val="0"/>
      <w:marTop w:val="0"/>
      <w:marBottom w:val="0"/>
      <w:divBdr>
        <w:top w:val="none" w:sz="0" w:space="0" w:color="auto"/>
        <w:left w:val="none" w:sz="0" w:space="0" w:color="auto"/>
        <w:bottom w:val="none" w:sz="0" w:space="0" w:color="auto"/>
        <w:right w:val="none" w:sz="0" w:space="0" w:color="auto"/>
      </w:divBdr>
    </w:div>
    <w:div w:id="986277812">
      <w:bodyDiv w:val="1"/>
      <w:marLeft w:val="0"/>
      <w:marRight w:val="0"/>
      <w:marTop w:val="0"/>
      <w:marBottom w:val="0"/>
      <w:divBdr>
        <w:top w:val="none" w:sz="0" w:space="0" w:color="auto"/>
        <w:left w:val="none" w:sz="0" w:space="0" w:color="auto"/>
        <w:bottom w:val="none" w:sz="0" w:space="0" w:color="auto"/>
        <w:right w:val="none" w:sz="0" w:space="0" w:color="auto"/>
      </w:divBdr>
    </w:div>
    <w:div w:id="1013459984">
      <w:bodyDiv w:val="1"/>
      <w:marLeft w:val="0"/>
      <w:marRight w:val="0"/>
      <w:marTop w:val="0"/>
      <w:marBottom w:val="0"/>
      <w:divBdr>
        <w:top w:val="none" w:sz="0" w:space="0" w:color="auto"/>
        <w:left w:val="none" w:sz="0" w:space="0" w:color="auto"/>
        <w:bottom w:val="none" w:sz="0" w:space="0" w:color="auto"/>
        <w:right w:val="none" w:sz="0" w:space="0" w:color="auto"/>
      </w:divBdr>
    </w:div>
    <w:div w:id="1060517101">
      <w:bodyDiv w:val="1"/>
      <w:marLeft w:val="0"/>
      <w:marRight w:val="0"/>
      <w:marTop w:val="0"/>
      <w:marBottom w:val="0"/>
      <w:divBdr>
        <w:top w:val="none" w:sz="0" w:space="0" w:color="auto"/>
        <w:left w:val="none" w:sz="0" w:space="0" w:color="auto"/>
        <w:bottom w:val="none" w:sz="0" w:space="0" w:color="auto"/>
        <w:right w:val="none" w:sz="0" w:space="0" w:color="auto"/>
      </w:divBdr>
    </w:div>
    <w:div w:id="1091009570">
      <w:bodyDiv w:val="1"/>
      <w:marLeft w:val="0"/>
      <w:marRight w:val="0"/>
      <w:marTop w:val="0"/>
      <w:marBottom w:val="0"/>
      <w:divBdr>
        <w:top w:val="none" w:sz="0" w:space="0" w:color="auto"/>
        <w:left w:val="none" w:sz="0" w:space="0" w:color="auto"/>
        <w:bottom w:val="none" w:sz="0" w:space="0" w:color="auto"/>
        <w:right w:val="none" w:sz="0" w:space="0" w:color="auto"/>
      </w:divBdr>
    </w:div>
    <w:div w:id="1109667264">
      <w:bodyDiv w:val="1"/>
      <w:marLeft w:val="0"/>
      <w:marRight w:val="0"/>
      <w:marTop w:val="0"/>
      <w:marBottom w:val="0"/>
      <w:divBdr>
        <w:top w:val="none" w:sz="0" w:space="0" w:color="auto"/>
        <w:left w:val="none" w:sz="0" w:space="0" w:color="auto"/>
        <w:bottom w:val="none" w:sz="0" w:space="0" w:color="auto"/>
        <w:right w:val="none" w:sz="0" w:space="0" w:color="auto"/>
      </w:divBdr>
    </w:div>
    <w:div w:id="1134248901">
      <w:bodyDiv w:val="1"/>
      <w:marLeft w:val="0"/>
      <w:marRight w:val="0"/>
      <w:marTop w:val="0"/>
      <w:marBottom w:val="0"/>
      <w:divBdr>
        <w:top w:val="none" w:sz="0" w:space="0" w:color="auto"/>
        <w:left w:val="none" w:sz="0" w:space="0" w:color="auto"/>
        <w:bottom w:val="none" w:sz="0" w:space="0" w:color="auto"/>
        <w:right w:val="none" w:sz="0" w:space="0" w:color="auto"/>
      </w:divBdr>
    </w:div>
    <w:div w:id="1157838125">
      <w:bodyDiv w:val="1"/>
      <w:marLeft w:val="0"/>
      <w:marRight w:val="0"/>
      <w:marTop w:val="0"/>
      <w:marBottom w:val="0"/>
      <w:divBdr>
        <w:top w:val="none" w:sz="0" w:space="0" w:color="auto"/>
        <w:left w:val="none" w:sz="0" w:space="0" w:color="auto"/>
        <w:bottom w:val="none" w:sz="0" w:space="0" w:color="auto"/>
        <w:right w:val="none" w:sz="0" w:space="0" w:color="auto"/>
      </w:divBdr>
    </w:div>
    <w:div w:id="1268587738">
      <w:bodyDiv w:val="1"/>
      <w:marLeft w:val="0"/>
      <w:marRight w:val="0"/>
      <w:marTop w:val="0"/>
      <w:marBottom w:val="0"/>
      <w:divBdr>
        <w:top w:val="none" w:sz="0" w:space="0" w:color="auto"/>
        <w:left w:val="none" w:sz="0" w:space="0" w:color="auto"/>
        <w:bottom w:val="none" w:sz="0" w:space="0" w:color="auto"/>
        <w:right w:val="none" w:sz="0" w:space="0" w:color="auto"/>
      </w:divBdr>
    </w:div>
    <w:div w:id="1277911919">
      <w:bodyDiv w:val="1"/>
      <w:marLeft w:val="0"/>
      <w:marRight w:val="0"/>
      <w:marTop w:val="0"/>
      <w:marBottom w:val="0"/>
      <w:divBdr>
        <w:top w:val="none" w:sz="0" w:space="0" w:color="auto"/>
        <w:left w:val="none" w:sz="0" w:space="0" w:color="auto"/>
        <w:bottom w:val="none" w:sz="0" w:space="0" w:color="auto"/>
        <w:right w:val="none" w:sz="0" w:space="0" w:color="auto"/>
      </w:divBdr>
    </w:div>
    <w:div w:id="1280186222">
      <w:bodyDiv w:val="1"/>
      <w:marLeft w:val="0"/>
      <w:marRight w:val="0"/>
      <w:marTop w:val="0"/>
      <w:marBottom w:val="0"/>
      <w:divBdr>
        <w:top w:val="none" w:sz="0" w:space="0" w:color="auto"/>
        <w:left w:val="none" w:sz="0" w:space="0" w:color="auto"/>
        <w:bottom w:val="none" w:sz="0" w:space="0" w:color="auto"/>
        <w:right w:val="none" w:sz="0" w:space="0" w:color="auto"/>
      </w:divBdr>
    </w:div>
    <w:div w:id="1294671819">
      <w:bodyDiv w:val="1"/>
      <w:marLeft w:val="0"/>
      <w:marRight w:val="0"/>
      <w:marTop w:val="0"/>
      <w:marBottom w:val="0"/>
      <w:divBdr>
        <w:top w:val="none" w:sz="0" w:space="0" w:color="auto"/>
        <w:left w:val="none" w:sz="0" w:space="0" w:color="auto"/>
        <w:bottom w:val="none" w:sz="0" w:space="0" w:color="auto"/>
        <w:right w:val="none" w:sz="0" w:space="0" w:color="auto"/>
      </w:divBdr>
    </w:div>
    <w:div w:id="1302151711">
      <w:bodyDiv w:val="1"/>
      <w:marLeft w:val="0"/>
      <w:marRight w:val="0"/>
      <w:marTop w:val="0"/>
      <w:marBottom w:val="0"/>
      <w:divBdr>
        <w:top w:val="none" w:sz="0" w:space="0" w:color="auto"/>
        <w:left w:val="none" w:sz="0" w:space="0" w:color="auto"/>
        <w:bottom w:val="none" w:sz="0" w:space="0" w:color="auto"/>
        <w:right w:val="none" w:sz="0" w:space="0" w:color="auto"/>
      </w:divBdr>
    </w:div>
    <w:div w:id="1310553711">
      <w:bodyDiv w:val="1"/>
      <w:marLeft w:val="0"/>
      <w:marRight w:val="0"/>
      <w:marTop w:val="0"/>
      <w:marBottom w:val="0"/>
      <w:divBdr>
        <w:top w:val="none" w:sz="0" w:space="0" w:color="auto"/>
        <w:left w:val="none" w:sz="0" w:space="0" w:color="auto"/>
        <w:bottom w:val="none" w:sz="0" w:space="0" w:color="auto"/>
        <w:right w:val="none" w:sz="0" w:space="0" w:color="auto"/>
      </w:divBdr>
    </w:div>
    <w:div w:id="1395932731">
      <w:bodyDiv w:val="1"/>
      <w:marLeft w:val="0"/>
      <w:marRight w:val="0"/>
      <w:marTop w:val="0"/>
      <w:marBottom w:val="0"/>
      <w:divBdr>
        <w:top w:val="none" w:sz="0" w:space="0" w:color="auto"/>
        <w:left w:val="none" w:sz="0" w:space="0" w:color="auto"/>
        <w:bottom w:val="none" w:sz="0" w:space="0" w:color="auto"/>
        <w:right w:val="none" w:sz="0" w:space="0" w:color="auto"/>
      </w:divBdr>
    </w:div>
    <w:div w:id="1399550049">
      <w:bodyDiv w:val="1"/>
      <w:marLeft w:val="0"/>
      <w:marRight w:val="0"/>
      <w:marTop w:val="0"/>
      <w:marBottom w:val="0"/>
      <w:divBdr>
        <w:top w:val="none" w:sz="0" w:space="0" w:color="auto"/>
        <w:left w:val="none" w:sz="0" w:space="0" w:color="auto"/>
        <w:bottom w:val="none" w:sz="0" w:space="0" w:color="auto"/>
        <w:right w:val="none" w:sz="0" w:space="0" w:color="auto"/>
      </w:divBdr>
    </w:div>
    <w:div w:id="1411266658">
      <w:bodyDiv w:val="1"/>
      <w:marLeft w:val="0"/>
      <w:marRight w:val="0"/>
      <w:marTop w:val="0"/>
      <w:marBottom w:val="0"/>
      <w:divBdr>
        <w:top w:val="none" w:sz="0" w:space="0" w:color="auto"/>
        <w:left w:val="none" w:sz="0" w:space="0" w:color="auto"/>
        <w:bottom w:val="none" w:sz="0" w:space="0" w:color="auto"/>
        <w:right w:val="none" w:sz="0" w:space="0" w:color="auto"/>
      </w:divBdr>
    </w:div>
    <w:div w:id="1435635028">
      <w:bodyDiv w:val="1"/>
      <w:marLeft w:val="0"/>
      <w:marRight w:val="0"/>
      <w:marTop w:val="0"/>
      <w:marBottom w:val="0"/>
      <w:divBdr>
        <w:top w:val="none" w:sz="0" w:space="0" w:color="auto"/>
        <w:left w:val="none" w:sz="0" w:space="0" w:color="auto"/>
        <w:bottom w:val="none" w:sz="0" w:space="0" w:color="auto"/>
        <w:right w:val="none" w:sz="0" w:space="0" w:color="auto"/>
      </w:divBdr>
    </w:div>
    <w:div w:id="1436170363">
      <w:bodyDiv w:val="1"/>
      <w:marLeft w:val="0"/>
      <w:marRight w:val="0"/>
      <w:marTop w:val="0"/>
      <w:marBottom w:val="0"/>
      <w:divBdr>
        <w:top w:val="none" w:sz="0" w:space="0" w:color="auto"/>
        <w:left w:val="none" w:sz="0" w:space="0" w:color="auto"/>
        <w:bottom w:val="none" w:sz="0" w:space="0" w:color="auto"/>
        <w:right w:val="none" w:sz="0" w:space="0" w:color="auto"/>
      </w:divBdr>
    </w:div>
    <w:div w:id="1462110046">
      <w:bodyDiv w:val="1"/>
      <w:marLeft w:val="0"/>
      <w:marRight w:val="0"/>
      <w:marTop w:val="0"/>
      <w:marBottom w:val="0"/>
      <w:divBdr>
        <w:top w:val="none" w:sz="0" w:space="0" w:color="auto"/>
        <w:left w:val="none" w:sz="0" w:space="0" w:color="auto"/>
        <w:bottom w:val="none" w:sz="0" w:space="0" w:color="auto"/>
        <w:right w:val="none" w:sz="0" w:space="0" w:color="auto"/>
      </w:divBdr>
    </w:div>
    <w:div w:id="1521627343">
      <w:bodyDiv w:val="1"/>
      <w:marLeft w:val="0"/>
      <w:marRight w:val="0"/>
      <w:marTop w:val="0"/>
      <w:marBottom w:val="0"/>
      <w:divBdr>
        <w:top w:val="none" w:sz="0" w:space="0" w:color="auto"/>
        <w:left w:val="none" w:sz="0" w:space="0" w:color="auto"/>
        <w:bottom w:val="none" w:sz="0" w:space="0" w:color="auto"/>
        <w:right w:val="none" w:sz="0" w:space="0" w:color="auto"/>
      </w:divBdr>
    </w:div>
    <w:div w:id="1544176270">
      <w:bodyDiv w:val="1"/>
      <w:marLeft w:val="0"/>
      <w:marRight w:val="0"/>
      <w:marTop w:val="0"/>
      <w:marBottom w:val="0"/>
      <w:divBdr>
        <w:top w:val="none" w:sz="0" w:space="0" w:color="auto"/>
        <w:left w:val="none" w:sz="0" w:space="0" w:color="auto"/>
        <w:bottom w:val="none" w:sz="0" w:space="0" w:color="auto"/>
        <w:right w:val="none" w:sz="0" w:space="0" w:color="auto"/>
      </w:divBdr>
    </w:div>
    <w:div w:id="1558249474">
      <w:bodyDiv w:val="1"/>
      <w:marLeft w:val="0"/>
      <w:marRight w:val="0"/>
      <w:marTop w:val="0"/>
      <w:marBottom w:val="0"/>
      <w:divBdr>
        <w:top w:val="none" w:sz="0" w:space="0" w:color="auto"/>
        <w:left w:val="none" w:sz="0" w:space="0" w:color="auto"/>
        <w:bottom w:val="none" w:sz="0" w:space="0" w:color="auto"/>
        <w:right w:val="none" w:sz="0" w:space="0" w:color="auto"/>
      </w:divBdr>
    </w:div>
    <w:div w:id="1572541572">
      <w:bodyDiv w:val="1"/>
      <w:marLeft w:val="0"/>
      <w:marRight w:val="0"/>
      <w:marTop w:val="0"/>
      <w:marBottom w:val="0"/>
      <w:divBdr>
        <w:top w:val="none" w:sz="0" w:space="0" w:color="auto"/>
        <w:left w:val="none" w:sz="0" w:space="0" w:color="auto"/>
        <w:bottom w:val="none" w:sz="0" w:space="0" w:color="auto"/>
        <w:right w:val="none" w:sz="0" w:space="0" w:color="auto"/>
      </w:divBdr>
    </w:div>
    <w:div w:id="1633055915">
      <w:bodyDiv w:val="1"/>
      <w:marLeft w:val="0"/>
      <w:marRight w:val="0"/>
      <w:marTop w:val="0"/>
      <w:marBottom w:val="0"/>
      <w:divBdr>
        <w:top w:val="none" w:sz="0" w:space="0" w:color="auto"/>
        <w:left w:val="none" w:sz="0" w:space="0" w:color="auto"/>
        <w:bottom w:val="none" w:sz="0" w:space="0" w:color="auto"/>
        <w:right w:val="none" w:sz="0" w:space="0" w:color="auto"/>
      </w:divBdr>
    </w:div>
    <w:div w:id="1698853459">
      <w:bodyDiv w:val="1"/>
      <w:marLeft w:val="0"/>
      <w:marRight w:val="0"/>
      <w:marTop w:val="0"/>
      <w:marBottom w:val="0"/>
      <w:divBdr>
        <w:top w:val="none" w:sz="0" w:space="0" w:color="auto"/>
        <w:left w:val="none" w:sz="0" w:space="0" w:color="auto"/>
        <w:bottom w:val="none" w:sz="0" w:space="0" w:color="auto"/>
        <w:right w:val="none" w:sz="0" w:space="0" w:color="auto"/>
      </w:divBdr>
    </w:div>
    <w:div w:id="1723215402">
      <w:bodyDiv w:val="1"/>
      <w:marLeft w:val="0"/>
      <w:marRight w:val="0"/>
      <w:marTop w:val="0"/>
      <w:marBottom w:val="0"/>
      <w:divBdr>
        <w:top w:val="none" w:sz="0" w:space="0" w:color="auto"/>
        <w:left w:val="none" w:sz="0" w:space="0" w:color="auto"/>
        <w:bottom w:val="none" w:sz="0" w:space="0" w:color="auto"/>
        <w:right w:val="none" w:sz="0" w:space="0" w:color="auto"/>
      </w:divBdr>
    </w:div>
    <w:div w:id="1744570820">
      <w:bodyDiv w:val="1"/>
      <w:marLeft w:val="0"/>
      <w:marRight w:val="0"/>
      <w:marTop w:val="0"/>
      <w:marBottom w:val="0"/>
      <w:divBdr>
        <w:top w:val="none" w:sz="0" w:space="0" w:color="auto"/>
        <w:left w:val="none" w:sz="0" w:space="0" w:color="auto"/>
        <w:bottom w:val="none" w:sz="0" w:space="0" w:color="auto"/>
        <w:right w:val="none" w:sz="0" w:space="0" w:color="auto"/>
      </w:divBdr>
    </w:div>
    <w:div w:id="1753576614">
      <w:bodyDiv w:val="1"/>
      <w:marLeft w:val="0"/>
      <w:marRight w:val="0"/>
      <w:marTop w:val="0"/>
      <w:marBottom w:val="0"/>
      <w:divBdr>
        <w:top w:val="none" w:sz="0" w:space="0" w:color="auto"/>
        <w:left w:val="none" w:sz="0" w:space="0" w:color="auto"/>
        <w:bottom w:val="none" w:sz="0" w:space="0" w:color="auto"/>
        <w:right w:val="none" w:sz="0" w:space="0" w:color="auto"/>
      </w:divBdr>
    </w:div>
    <w:div w:id="1793405253">
      <w:bodyDiv w:val="1"/>
      <w:marLeft w:val="0"/>
      <w:marRight w:val="0"/>
      <w:marTop w:val="0"/>
      <w:marBottom w:val="0"/>
      <w:divBdr>
        <w:top w:val="none" w:sz="0" w:space="0" w:color="auto"/>
        <w:left w:val="none" w:sz="0" w:space="0" w:color="auto"/>
        <w:bottom w:val="none" w:sz="0" w:space="0" w:color="auto"/>
        <w:right w:val="none" w:sz="0" w:space="0" w:color="auto"/>
      </w:divBdr>
    </w:div>
    <w:div w:id="1862669338">
      <w:bodyDiv w:val="1"/>
      <w:marLeft w:val="0"/>
      <w:marRight w:val="0"/>
      <w:marTop w:val="0"/>
      <w:marBottom w:val="0"/>
      <w:divBdr>
        <w:top w:val="none" w:sz="0" w:space="0" w:color="auto"/>
        <w:left w:val="none" w:sz="0" w:space="0" w:color="auto"/>
        <w:bottom w:val="none" w:sz="0" w:space="0" w:color="auto"/>
        <w:right w:val="none" w:sz="0" w:space="0" w:color="auto"/>
      </w:divBdr>
    </w:div>
    <w:div w:id="1863350443">
      <w:bodyDiv w:val="1"/>
      <w:marLeft w:val="0"/>
      <w:marRight w:val="0"/>
      <w:marTop w:val="0"/>
      <w:marBottom w:val="0"/>
      <w:divBdr>
        <w:top w:val="none" w:sz="0" w:space="0" w:color="auto"/>
        <w:left w:val="none" w:sz="0" w:space="0" w:color="auto"/>
        <w:bottom w:val="none" w:sz="0" w:space="0" w:color="auto"/>
        <w:right w:val="none" w:sz="0" w:space="0" w:color="auto"/>
      </w:divBdr>
    </w:div>
    <w:div w:id="1913158312">
      <w:bodyDiv w:val="1"/>
      <w:marLeft w:val="0"/>
      <w:marRight w:val="0"/>
      <w:marTop w:val="0"/>
      <w:marBottom w:val="0"/>
      <w:divBdr>
        <w:top w:val="none" w:sz="0" w:space="0" w:color="auto"/>
        <w:left w:val="none" w:sz="0" w:space="0" w:color="auto"/>
        <w:bottom w:val="none" w:sz="0" w:space="0" w:color="auto"/>
        <w:right w:val="none" w:sz="0" w:space="0" w:color="auto"/>
      </w:divBdr>
    </w:div>
    <w:div w:id="1923946553">
      <w:bodyDiv w:val="1"/>
      <w:marLeft w:val="0"/>
      <w:marRight w:val="0"/>
      <w:marTop w:val="0"/>
      <w:marBottom w:val="0"/>
      <w:divBdr>
        <w:top w:val="none" w:sz="0" w:space="0" w:color="auto"/>
        <w:left w:val="none" w:sz="0" w:space="0" w:color="auto"/>
        <w:bottom w:val="none" w:sz="0" w:space="0" w:color="auto"/>
        <w:right w:val="none" w:sz="0" w:space="0" w:color="auto"/>
      </w:divBdr>
    </w:div>
    <w:div w:id="1961642812">
      <w:bodyDiv w:val="1"/>
      <w:marLeft w:val="0"/>
      <w:marRight w:val="0"/>
      <w:marTop w:val="0"/>
      <w:marBottom w:val="0"/>
      <w:divBdr>
        <w:top w:val="none" w:sz="0" w:space="0" w:color="auto"/>
        <w:left w:val="none" w:sz="0" w:space="0" w:color="auto"/>
        <w:bottom w:val="none" w:sz="0" w:space="0" w:color="auto"/>
        <w:right w:val="none" w:sz="0" w:space="0" w:color="auto"/>
      </w:divBdr>
    </w:div>
    <w:div w:id="1968583255">
      <w:bodyDiv w:val="1"/>
      <w:marLeft w:val="0"/>
      <w:marRight w:val="0"/>
      <w:marTop w:val="0"/>
      <w:marBottom w:val="0"/>
      <w:divBdr>
        <w:top w:val="none" w:sz="0" w:space="0" w:color="auto"/>
        <w:left w:val="none" w:sz="0" w:space="0" w:color="auto"/>
        <w:bottom w:val="none" w:sz="0" w:space="0" w:color="auto"/>
        <w:right w:val="none" w:sz="0" w:space="0" w:color="auto"/>
      </w:divBdr>
    </w:div>
    <w:div w:id="2000041601">
      <w:bodyDiv w:val="1"/>
      <w:marLeft w:val="0"/>
      <w:marRight w:val="0"/>
      <w:marTop w:val="0"/>
      <w:marBottom w:val="0"/>
      <w:divBdr>
        <w:top w:val="none" w:sz="0" w:space="0" w:color="auto"/>
        <w:left w:val="none" w:sz="0" w:space="0" w:color="auto"/>
        <w:bottom w:val="none" w:sz="0" w:space="0" w:color="auto"/>
        <w:right w:val="none" w:sz="0" w:space="0" w:color="auto"/>
      </w:divBdr>
    </w:div>
    <w:div w:id="2002394073">
      <w:bodyDiv w:val="1"/>
      <w:marLeft w:val="0"/>
      <w:marRight w:val="0"/>
      <w:marTop w:val="0"/>
      <w:marBottom w:val="0"/>
      <w:divBdr>
        <w:top w:val="none" w:sz="0" w:space="0" w:color="auto"/>
        <w:left w:val="none" w:sz="0" w:space="0" w:color="auto"/>
        <w:bottom w:val="none" w:sz="0" w:space="0" w:color="auto"/>
        <w:right w:val="none" w:sz="0" w:space="0" w:color="auto"/>
      </w:divBdr>
    </w:div>
    <w:div w:id="2030133233">
      <w:bodyDiv w:val="1"/>
      <w:marLeft w:val="0"/>
      <w:marRight w:val="0"/>
      <w:marTop w:val="0"/>
      <w:marBottom w:val="0"/>
      <w:divBdr>
        <w:top w:val="none" w:sz="0" w:space="0" w:color="auto"/>
        <w:left w:val="none" w:sz="0" w:space="0" w:color="auto"/>
        <w:bottom w:val="none" w:sz="0" w:space="0" w:color="auto"/>
        <w:right w:val="none" w:sz="0" w:space="0" w:color="auto"/>
      </w:divBdr>
    </w:div>
    <w:div w:id="2044086908">
      <w:bodyDiv w:val="1"/>
      <w:marLeft w:val="0"/>
      <w:marRight w:val="0"/>
      <w:marTop w:val="0"/>
      <w:marBottom w:val="0"/>
      <w:divBdr>
        <w:top w:val="none" w:sz="0" w:space="0" w:color="auto"/>
        <w:left w:val="none" w:sz="0" w:space="0" w:color="auto"/>
        <w:bottom w:val="none" w:sz="0" w:space="0" w:color="auto"/>
        <w:right w:val="none" w:sz="0" w:space="0" w:color="auto"/>
      </w:divBdr>
    </w:div>
    <w:div w:id="2047638192">
      <w:bodyDiv w:val="1"/>
      <w:marLeft w:val="0"/>
      <w:marRight w:val="0"/>
      <w:marTop w:val="0"/>
      <w:marBottom w:val="0"/>
      <w:divBdr>
        <w:top w:val="none" w:sz="0" w:space="0" w:color="auto"/>
        <w:left w:val="none" w:sz="0" w:space="0" w:color="auto"/>
        <w:bottom w:val="none" w:sz="0" w:space="0" w:color="auto"/>
        <w:right w:val="none" w:sz="0" w:space="0" w:color="auto"/>
      </w:divBdr>
    </w:div>
    <w:div w:id="2057775653">
      <w:bodyDiv w:val="1"/>
      <w:marLeft w:val="0"/>
      <w:marRight w:val="0"/>
      <w:marTop w:val="0"/>
      <w:marBottom w:val="0"/>
      <w:divBdr>
        <w:top w:val="none" w:sz="0" w:space="0" w:color="auto"/>
        <w:left w:val="none" w:sz="0" w:space="0" w:color="auto"/>
        <w:bottom w:val="none" w:sz="0" w:space="0" w:color="auto"/>
        <w:right w:val="none" w:sz="0" w:space="0" w:color="auto"/>
      </w:divBdr>
    </w:div>
    <w:div w:id="2082022838">
      <w:bodyDiv w:val="1"/>
      <w:marLeft w:val="0"/>
      <w:marRight w:val="0"/>
      <w:marTop w:val="0"/>
      <w:marBottom w:val="0"/>
      <w:divBdr>
        <w:top w:val="none" w:sz="0" w:space="0" w:color="auto"/>
        <w:left w:val="none" w:sz="0" w:space="0" w:color="auto"/>
        <w:bottom w:val="none" w:sz="0" w:space="0" w:color="auto"/>
        <w:right w:val="none" w:sz="0" w:space="0" w:color="auto"/>
      </w:divBdr>
    </w:div>
    <w:div w:id="2098209798">
      <w:bodyDiv w:val="1"/>
      <w:marLeft w:val="0"/>
      <w:marRight w:val="0"/>
      <w:marTop w:val="0"/>
      <w:marBottom w:val="0"/>
      <w:divBdr>
        <w:top w:val="none" w:sz="0" w:space="0" w:color="auto"/>
        <w:left w:val="none" w:sz="0" w:space="0" w:color="auto"/>
        <w:bottom w:val="none" w:sz="0" w:space="0" w:color="auto"/>
        <w:right w:val="none" w:sz="0" w:space="0" w:color="auto"/>
      </w:divBdr>
    </w:div>
    <w:div w:id="2104449117">
      <w:bodyDiv w:val="1"/>
      <w:marLeft w:val="0"/>
      <w:marRight w:val="0"/>
      <w:marTop w:val="0"/>
      <w:marBottom w:val="0"/>
      <w:divBdr>
        <w:top w:val="none" w:sz="0" w:space="0" w:color="auto"/>
        <w:left w:val="none" w:sz="0" w:space="0" w:color="auto"/>
        <w:bottom w:val="none" w:sz="0" w:space="0" w:color="auto"/>
        <w:right w:val="none" w:sz="0" w:space="0" w:color="auto"/>
      </w:divBdr>
    </w:div>
    <w:div w:id="2105415235">
      <w:bodyDiv w:val="1"/>
      <w:marLeft w:val="0"/>
      <w:marRight w:val="0"/>
      <w:marTop w:val="0"/>
      <w:marBottom w:val="0"/>
      <w:divBdr>
        <w:top w:val="none" w:sz="0" w:space="0" w:color="auto"/>
        <w:left w:val="none" w:sz="0" w:space="0" w:color="auto"/>
        <w:bottom w:val="none" w:sz="0" w:space="0" w:color="auto"/>
        <w:right w:val="none" w:sz="0" w:space="0" w:color="auto"/>
      </w:divBdr>
    </w:div>
    <w:div w:id="2106875700">
      <w:bodyDiv w:val="1"/>
      <w:marLeft w:val="0"/>
      <w:marRight w:val="0"/>
      <w:marTop w:val="0"/>
      <w:marBottom w:val="0"/>
      <w:divBdr>
        <w:top w:val="none" w:sz="0" w:space="0" w:color="auto"/>
        <w:left w:val="none" w:sz="0" w:space="0" w:color="auto"/>
        <w:bottom w:val="none" w:sz="0" w:space="0" w:color="auto"/>
        <w:right w:val="none" w:sz="0" w:space="0" w:color="auto"/>
      </w:divBdr>
    </w:div>
    <w:div w:id="2126270357">
      <w:bodyDiv w:val="1"/>
      <w:marLeft w:val="0"/>
      <w:marRight w:val="0"/>
      <w:marTop w:val="0"/>
      <w:marBottom w:val="0"/>
      <w:divBdr>
        <w:top w:val="none" w:sz="0" w:space="0" w:color="auto"/>
        <w:left w:val="none" w:sz="0" w:space="0" w:color="auto"/>
        <w:bottom w:val="none" w:sz="0" w:space="0" w:color="auto"/>
        <w:right w:val="none" w:sz="0" w:space="0" w:color="auto"/>
      </w:divBdr>
    </w:div>
    <w:div w:id="2131237349">
      <w:bodyDiv w:val="1"/>
      <w:marLeft w:val="0"/>
      <w:marRight w:val="0"/>
      <w:marTop w:val="0"/>
      <w:marBottom w:val="0"/>
      <w:divBdr>
        <w:top w:val="none" w:sz="0" w:space="0" w:color="auto"/>
        <w:left w:val="none" w:sz="0" w:space="0" w:color="auto"/>
        <w:bottom w:val="none" w:sz="0" w:space="0" w:color="auto"/>
        <w:right w:val="none" w:sz="0" w:space="0" w:color="auto"/>
      </w:divBdr>
    </w:div>
    <w:div w:id="213354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AZJMDCZ6QSYZ-766340090-16274</_dlc_DocId>
    <_dlc_DocIdUrl xmlns="a494813a-d0d8-4dad-94cb-0d196f36ba15">
      <Url>https://ekoordinacije.vlada.hr/sektorske-politike/_layouts/15/DocIdRedir.aspx?ID=AZJMDCZ6QSYZ-766340090-16274</Url>
      <Description>AZJMDCZ6QSYZ-766340090-16274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F01F8D90C817648A057319914E5468F" ma:contentTypeVersion="1" ma:contentTypeDescription="Stvaranje novog dokumenta." ma:contentTypeScope="" ma:versionID="2339b52fc7f5cbd4997e420d6a0c05ec">
  <xsd:schema xmlns:xsd="http://www.w3.org/2001/XMLSchema" xmlns:xs="http://www.w3.org/2001/XMLSchema" xmlns:p="http://schemas.microsoft.com/office/2006/metadata/properties" xmlns:ns2="a494813a-d0d8-4dad-94cb-0d196f36ba15" xmlns:ns3="df35c308-cda9-40a6-a089-6b134139c75b" targetNamespace="http://schemas.microsoft.com/office/2006/metadata/properties" ma:root="true" ma:fieldsID="761f628bc1a41a3ff3b7e5dfa476401f" ns2:_="" ns3:_="">
    <xsd:import namespace="a494813a-d0d8-4dad-94cb-0d196f36ba15"/>
    <xsd:import namespace="df35c308-cda9-40a6-a089-6b134139c75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35c308-cda9-40a6-a089-6b134139c75b" elementFormDefault="qualified">
    <xsd:import namespace="http://schemas.microsoft.com/office/2006/documentManagement/types"/>
    <xsd:import namespace="http://schemas.microsoft.com/office/infopath/2007/PartnerControls"/>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4E87A-E524-497C-9CD8-030AD89D87AF}">
  <ds:schemaRefs>
    <ds:schemaRef ds:uri="http://schemas.microsoft.com/sharepoint/events"/>
  </ds:schemaRefs>
</ds:datastoreItem>
</file>

<file path=customXml/itemProps2.xml><?xml version="1.0" encoding="utf-8"?>
<ds:datastoreItem xmlns:ds="http://schemas.openxmlformats.org/officeDocument/2006/customXml" ds:itemID="{2089053D-9438-43A4-AA81-520D8552611A}">
  <ds:schemaRefs>
    <ds:schemaRef ds:uri="http://schemas.microsoft.com/sharepoint/v3/contenttype/forms"/>
  </ds:schemaRefs>
</ds:datastoreItem>
</file>

<file path=customXml/itemProps3.xml><?xml version="1.0" encoding="utf-8"?>
<ds:datastoreItem xmlns:ds="http://schemas.openxmlformats.org/officeDocument/2006/customXml" ds:itemID="{54C81F7D-D4DB-49EF-88CF-1EC43F164804}">
  <ds:schemaRefs>
    <ds:schemaRef ds:uri="a494813a-d0d8-4dad-94cb-0d196f36ba15"/>
    <ds:schemaRef ds:uri="http://schemas.microsoft.com/office/2006/documentManagement/types"/>
    <ds:schemaRef ds:uri="http://purl.org/dc/dcmitype/"/>
    <ds:schemaRef ds:uri="http://schemas.microsoft.com/office/infopath/2007/PartnerControls"/>
    <ds:schemaRef ds:uri="http://www.w3.org/XML/1998/namespace"/>
    <ds:schemaRef ds:uri="http://schemas.microsoft.com/office/2006/metadata/properties"/>
    <ds:schemaRef ds:uri="http://purl.org/dc/elements/1.1/"/>
    <ds:schemaRef ds:uri="http://purl.org/dc/terms/"/>
    <ds:schemaRef ds:uri="http://schemas.openxmlformats.org/package/2006/metadata/core-properties"/>
    <ds:schemaRef ds:uri="df35c308-cda9-40a6-a089-6b134139c75b"/>
  </ds:schemaRefs>
</ds:datastoreItem>
</file>

<file path=customXml/itemProps4.xml><?xml version="1.0" encoding="utf-8"?>
<ds:datastoreItem xmlns:ds="http://schemas.openxmlformats.org/officeDocument/2006/customXml" ds:itemID="{5447DDE8-7978-4299-B9DA-F51D62B0D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df35c308-cda9-40a6-a089-6b134139c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917D41-AB1B-42E1-9EEF-6EE1C42E6F25}">
  <ds:schemaRefs>
    <ds:schemaRef ds:uri="http://schemas.openxmlformats.org/officeDocument/2006/bibliography"/>
  </ds:schemaRefs>
</ds:datastoreItem>
</file>

<file path=docMetadata/LabelInfo.xml><?xml version="1.0" encoding="utf-8"?>
<clbl:labelList xmlns:clbl="http://schemas.microsoft.com/office/2020/mipLabelMetadata">
  <clbl:label id="{80b371a5-db60-4559-a15f-7df3747c88c8}" enabled="0" method="" siteId="{80b371a5-db60-4559-a15f-7df3747c88c8}" removed="1"/>
</clbl:labelList>
</file>

<file path=docProps/app.xml><?xml version="1.0" encoding="utf-8"?>
<Properties xmlns="http://schemas.openxmlformats.org/officeDocument/2006/extended-properties" xmlns:vt="http://schemas.openxmlformats.org/officeDocument/2006/docPropsVTypes">
  <Template>Normal</Template>
  <TotalTime>3</TotalTime>
  <Pages>25</Pages>
  <Words>6892</Words>
  <Characters>39288</Characters>
  <Application>Microsoft Office Word</Application>
  <DocSecurity>0</DocSecurity>
  <Lines>327</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MPGI</Company>
  <LinksUpToDate>false</LinksUpToDate>
  <CharactersWithSpaces>46088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Žderić</dc:creator>
  <cp:keywords/>
  <dc:description/>
  <cp:lastModifiedBy>Adela Videc</cp:lastModifiedBy>
  <cp:revision>4</cp:revision>
  <cp:lastPrinted>2026-04-22T13:35:00Z</cp:lastPrinted>
  <dcterms:created xsi:type="dcterms:W3CDTF">2026-07-14T06:56:00Z</dcterms:created>
  <dcterms:modified xsi:type="dcterms:W3CDTF">2026-07-30T08:16:00Z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0x0101006F01F8D90C817648A057319914E5468F</vt:lpwstr>
  </property>
  <property fmtid="{D5CDD505-2E9C-101B-9397-08002B2CF9AE}" pid="3" name="_dlc_DocIdItemGuid">
    <vt:lpwstr>cf3e0972-0408-4dc1-a815-7294482473ed</vt:lpwstr>
  </property>
</Properties>
</file>